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BE6289" w14:textId="59CF7D6C" w:rsidR="00B3520B" w:rsidRPr="00965717" w:rsidRDefault="006A7E31" w:rsidP="007C3183">
      <w:pPr>
        <w:jc w:val="center"/>
        <w:rPr>
          <w:b/>
          <w:bCs/>
          <w:sz w:val="24"/>
          <w:szCs w:val="24"/>
          <w:lang w:val="en-US"/>
        </w:rPr>
      </w:pPr>
      <w:r w:rsidRPr="00965717">
        <w:rPr>
          <w:b/>
          <w:bCs/>
          <w:sz w:val="24"/>
          <w:szCs w:val="24"/>
          <w:lang w:val="en-US"/>
        </w:rPr>
        <w:t xml:space="preserve">The rule of law in Aotearoa New Zealand </w:t>
      </w:r>
    </w:p>
    <w:p w14:paraId="358D2937" w14:textId="06D85955" w:rsidR="002878F0" w:rsidRDefault="002B6538">
      <w:r>
        <w:t xml:space="preserve">One of the Law Society’s </w:t>
      </w:r>
      <w:r w:rsidR="00FF62CF">
        <w:t>statutory</w:t>
      </w:r>
      <w:r w:rsidR="0011589D">
        <w:t xml:space="preserve"> roles, and a </w:t>
      </w:r>
      <w:hyperlink r:id="rId7" w:history="1">
        <w:r w:rsidR="0011589D" w:rsidRPr="00B86474">
          <w:rPr>
            <w:rStyle w:val="Hyperlink"/>
          </w:rPr>
          <w:t>key</w:t>
        </w:r>
        <w:r w:rsidRPr="00B86474">
          <w:rPr>
            <w:rStyle w:val="Hyperlink"/>
          </w:rPr>
          <w:t xml:space="preserve"> strategic priorit</w:t>
        </w:r>
        <w:r w:rsidR="0011589D" w:rsidRPr="00B86474">
          <w:rPr>
            <w:rStyle w:val="Hyperlink"/>
          </w:rPr>
          <w:t>y</w:t>
        </w:r>
      </w:hyperlink>
      <w:r w:rsidR="0011589D">
        <w:t>,</w:t>
      </w:r>
      <w:r>
        <w:t xml:space="preserve"> is to advocate for </w:t>
      </w:r>
      <w:r w:rsidR="000154C1">
        <w:t xml:space="preserve">and promote </w:t>
      </w:r>
      <w:r>
        <w:t xml:space="preserve">the </w:t>
      </w:r>
      <w:r w:rsidR="002878F0">
        <w:t>r</w:t>
      </w:r>
      <w:r>
        <w:t xml:space="preserve">ule of </w:t>
      </w:r>
      <w:r w:rsidR="002878F0">
        <w:t>l</w:t>
      </w:r>
      <w:r>
        <w:t>aw</w:t>
      </w:r>
      <w:r w:rsidR="006701A6">
        <w:t>.</w:t>
      </w:r>
    </w:p>
    <w:p w14:paraId="011812FF" w14:textId="028E31A3" w:rsidR="001974FD" w:rsidRDefault="00431EE3">
      <w:r>
        <w:t xml:space="preserve">In its simplest expression, the rule of law is the </w:t>
      </w:r>
      <w:r w:rsidR="003853A9">
        <w:t>principle</w:t>
      </w:r>
      <w:r>
        <w:t xml:space="preserve"> that the law </w:t>
      </w:r>
      <w:r w:rsidR="00D4587E">
        <w:t>applies</w:t>
      </w:r>
      <w:r>
        <w:t xml:space="preserve"> equally to everyone – </w:t>
      </w:r>
      <w:r w:rsidR="003853A9">
        <w:t xml:space="preserve">both the </w:t>
      </w:r>
      <w:r>
        <w:t xml:space="preserve">government and </w:t>
      </w:r>
      <w:r w:rsidR="003853A9">
        <w:t xml:space="preserve">its </w:t>
      </w:r>
      <w:r>
        <w:t>citizens</w:t>
      </w:r>
      <w:r w:rsidR="005E2389">
        <w:t>.</w:t>
      </w:r>
      <w:r w:rsidR="00D25EA9">
        <w:t xml:space="preserve"> </w:t>
      </w:r>
      <w:r w:rsidR="00BE616E">
        <w:t xml:space="preserve">It is the basic idea that governors, </w:t>
      </w:r>
      <w:proofErr w:type="gramStart"/>
      <w:r w:rsidR="00BE616E">
        <w:t>officials</w:t>
      </w:r>
      <w:proofErr w:type="gramEnd"/>
      <w:r w:rsidR="00BE616E">
        <w:t xml:space="preserve"> and citizens alike should comply with the law, and that ministers, officials and public bodies must follow law when executing their functions.</w:t>
      </w:r>
      <w:r w:rsidR="00BE616E">
        <w:rPr>
          <w:rStyle w:val="FootnoteReference"/>
        </w:rPr>
        <w:footnoteReference w:id="1"/>
      </w:r>
      <w:r w:rsidR="00BE616E" w:rsidRPr="00D25EA9">
        <w:t xml:space="preserve"> </w:t>
      </w:r>
      <w:r w:rsidR="00D25EA9">
        <w:t>This is reflected in a series of interrelated principles, which aim to ensure the fair and equal treatment of all</w:t>
      </w:r>
      <w:r w:rsidR="00BE616E">
        <w:t xml:space="preserve">. </w:t>
      </w:r>
    </w:p>
    <w:p w14:paraId="750B0489" w14:textId="42347294" w:rsidR="003853A9" w:rsidRDefault="001974FD">
      <w:r>
        <w:t xml:space="preserve">This resource sets out what the rule of law means in Aotearoa New Zealand, </w:t>
      </w:r>
      <w:r w:rsidR="00B23381">
        <w:t xml:space="preserve">and the Law Society’s work to uphold and promote this </w:t>
      </w:r>
      <w:r w:rsidR="00AB15E7">
        <w:t>fundamental</w:t>
      </w:r>
      <w:r w:rsidR="00B23381">
        <w:t xml:space="preserve"> constitutional principle.</w:t>
      </w:r>
      <w:r w:rsidR="0054264E">
        <w:t xml:space="preserve"> </w:t>
      </w:r>
      <w:r w:rsidR="00BF13EC">
        <w:t xml:space="preserve"> </w:t>
      </w:r>
      <w:r w:rsidR="002B6538">
        <w:t xml:space="preserve"> </w:t>
      </w:r>
    </w:p>
    <w:p w14:paraId="6AC5D527" w14:textId="77777777" w:rsidR="00243C46" w:rsidRPr="00D25EA9" w:rsidRDefault="00D609B1" w:rsidP="00E82E04">
      <w:pPr>
        <w:rPr>
          <w:i/>
          <w:iCs/>
        </w:rPr>
      </w:pPr>
      <w:r w:rsidRPr="00D25EA9">
        <w:rPr>
          <w:i/>
          <w:iCs/>
        </w:rPr>
        <w:t>W</w:t>
      </w:r>
      <w:r w:rsidR="007A5E9B" w:rsidRPr="00D25EA9">
        <w:rPr>
          <w:i/>
          <w:iCs/>
        </w:rPr>
        <w:t xml:space="preserve">hat is the rule of law? </w:t>
      </w:r>
    </w:p>
    <w:p w14:paraId="0AE96B3A" w14:textId="44A0AC75" w:rsidR="00243C46" w:rsidRDefault="00702A93" w:rsidP="00E82E04">
      <w:r>
        <w:t xml:space="preserve">Over the decades, </w:t>
      </w:r>
      <w:r w:rsidR="00F527F5">
        <w:t xml:space="preserve">many </w:t>
      </w:r>
      <w:r>
        <w:t xml:space="preserve">scholars have </w:t>
      </w:r>
      <w:r w:rsidR="009A29CD">
        <w:t>attempted to define</w:t>
      </w:r>
      <w:r>
        <w:t xml:space="preserve"> th</w:t>
      </w:r>
      <w:r w:rsidR="00AB7295">
        <w:t>is</w:t>
      </w:r>
      <w:r>
        <w:t xml:space="preserve"> constitutional principle</w:t>
      </w:r>
      <w:r w:rsidR="00F527F5">
        <w:t>.</w:t>
      </w:r>
      <w:r>
        <w:t xml:space="preserve"> </w:t>
      </w:r>
    </w:p>
    <w:p w14:paraId="2C1DC4FF" w14:textId="428F34CD" w:rsidR="00702A93" w:rsidRDefault="00F527F5" w:rsidP="00E82E04">
      <w:r>
        <w:t>T</w:t>
      </w:r>
      <w:r w:rsidR="00FE54B1" w:rsidRPr="009A29CD">
        <w:t>he Rt. Hon Lord Bingham of Cornhill KG</w:t>
      </w:r>
      <w:r w:rsidR="00702A93">
        <w:t xml:space="preserve"> comment</w:t>
      </w:r>
      <w:r w:rsidR="00B51531">
        <w:t>ed</w:t>
      </w:r>
      <w:r w:rsidR="00702A93">
        <w:t xml:space="preserve"> </w:t>
      </w:r>
      <w:r w:rsidR="009A29CD">
        <w:t>on “</w:t>
      </w:r>
      <w:r w:rsidR="009A29CD" w:rsidRPr="009A29CD">
        <w:t>the extreme difficulty of formulating a succinct and accurate definition suitable for inclusion in a statute</w:t>
      </w:r>
      <w:r w:rsidR="009A29CD">
        <w:t>”.</w:t>
      </w:r>
      <w:r w:rsidR="009A29CD">
        <w:rPr>
          <w:rStyle w:val="FootnoteReference"/>
        </w:rPr>
        <w:footnoteReference w:id="2"/>
      </w:r>
      <w:r w:rsidR="009A29CD">
        <w:t xml:space="preserve"> </w:t>
      </w:r>
      <w:r w:rsidR="00702A93">
        <w:t xml:space="preserve"> </w:t>
      </w:r>
    </w:p>
    <w:p w14:paraId="5BBA7A32" w14:textId="02BD1D68" w:rsidR="00E82E04" w:rsidRDefault="00702A93" w:rsidP="00E82E04">
      <w:r>
        <w:t xml:space="preserve">The </w:t>
      </w:r>
      <w:r w:rsidR="00E82E04">
        <w:t>19</w:t>
      </w:r>
      <w:r w:rsidR="00E82E04" w:rsidRPr="00260CB4">
        <w:rPr>
          <w:vertAlign w:val="superscript"/>
        </w:rPr>
        <w:t>th</w:t>
      </w:r>
      <w:r w:rsidR="00E82E04">
        <w:t xml:space="preserve"> century jurist AV Dicey considered the doctrine of the rule of law </w:t>
      </w:r>
      <w:r>
        <w:t>to mean</w:t>
      </w:r>
      <w:r w:rsidR="00E82E04">
        <w:t>:</w:t>
      </w:r>
      <w:r w:rsidR="00E82E04">
        <w:rPr>
          <w:rStyle w:val="FootnoteReference"/>
        </w:rPr>
        <w:footnoteReference w:id="3"/>
      </w:r>
    </w:p>
    <w:p w14:paraId="1BEECA4D" w14:textId="77777777" w:rsidR="00E82E04" w:rsidRDefault="00E82E04" w:rsidP="00B31FAB">
      <w:pPr>
        <w:pStyle w:val="ListParagraph"/>
        <w:numPr>
          <w:ilvl w:val="0"/>
          <w:numId w:val="2"/>
        </w:numPr>
        <w:spacing w:after="120"/>
        <w:ind w:left="714" w:hanging="357"/>
        <w:contextualSpacing w:val="0"/>
      </w:pPr>
      <w:r>
        <w:t>A person can only be penalised for breaching the law, and any</w:t>
      </w:r>
      <w:r w:rsidRPr="00A933C3">
        <w:t xml:space="preserve"> </w:t>
      </w:r>
      <w:r>
        <w:t xml:space="preserve">public authority imposing a penalty or punishment for such a breach must be able to refer to the relevant statute or common law authorising that action; </w:t>
      </w:r>
    </w:p>
    <w:p w14:paraId="32D3A24C" w14:textId="77777777" w:rsidR="00E82E04" w:rsidRDefault="00E82E04" w:rsidP="00B31FAB">
      <w:pPr>
        <w:pStyle w:val="ListParagraph"/>
        <w:numPr>
          <w:ilvl w:val="0"/>
          <w:numId w:val="2"/>
        </w:numPr>
        <w:spacing w:after="120"/>
        <w:ind w:left="714" w:hanging="357"/>
        <w:contextualSpacing w:val="0"/>
      </w:pPr>
      <w:r>
        <w:t xml:space="preserve">No one is above the law, and everyone, including politicians, officials, private </w:t>
      </w:r>
      <w:proofErr w:type="gramStart"/>
      <w:r>
        <w:t>citizens</w:t>
      </w:r>
      <w:proofErr w:type="gramEnd"/>
      <w:r>
        <w:t xml:space="preserve"> and institutions, have a duty to obey the law; and </w:t>
      </w:r>
    </w:p>
    <w:p w14:paraId="7C060B88" w14:textId="77777777" w:rsidR="00E82E04" w:rsidRDefault="00E82E04" w:rsidP="00B31FAB">
      <w:pPr>
        <w:pStyle w:val="ListParagraph"/>
        <w:numPr>
          <w:ilvl w:val="0"/>
          <w:numId w:val="2"/>
        </w:numPr>
        <w:spacing w:after="120"/>
        <w:ind w:left="714" w:hanging="357"/>
        <w:contextualSpacing w:val="0"/>
      </w:pPr>
      <w:r>
        <w:t xml:space="preserve">Civil rights and liberties are not defined and guaranteed by the State’s constitution – rather, they are secured by </w:t>
      </w:r>
      <w:r w:rsidRPr="009368FC">
        <w:t>ordinary public or private law remedies</w:t>
      </w:r>
      <w:r>
        <w:t xml:space="preserve"> awarded in the ordinary course of litigation. </w:t>
      </w:r>
    </w:p>
    <w:p w14:paraId="508472BA" w14:textId="61363EE1" w:rsidR="00F02772" w:rsidRDefault="009A29CD">
      <w:r>
        <w:t xml:space="preserve">Drawing on </w:t>
      </w:r>
      <w:r w:rsidR="00F831C2">
        <w:t>this</w:t>
      </w:r>
      <w:r w:rsidR="000871ED">
        <w:t xml:space="preserve"> definition</w:t>
      </w:r>
      <w:r>
        <w:t xml:space="preserve">, </w:t>
      </w:r>
      <w:r w:rsidRPr="009A29CD">
        <w:t xml:space="preserve">Lord Bingham </w:t>
      </w:r>
      <w:r>
        <w:t>observed</w:t>
      </w:r>
      <w:r w:rsidR="00CC60D5">
        <w:t>:</w:t>
      </w:r>
      <w:r w:rsidR="00C8454C">
        <w:rPr>
          <w:rStyle w:val="FootnoteReference"/>
        </w:rPr>
        <w:footnoteReference w:id="4"/>
      </w:r>
    </w:p>
    <w:p w14:paraId="37002EF5" w14:textId="1B479A32" w:rsidR="00CC60D5" w:rsidRPr="009A29CD" w:rsidRDefault="00CC60D5" w:rsidP="00CC60D5">
      <w:pPr>
        <w:ind w:left="720" w:right="662"/>
        <w:rPr>
          <w:sz w:val="20"/>
          <w:szCs w:val="20"/>
        </w:rPr>
      </w:pPr>
      <w:r w:rsidRPr="009A29CD">
        <w:rPr>
          <w:sz w:val="20"/>
          <w:szCs w:val="20"/>
        </w:rPr>
        <w:t>“The core of the existing principle is … that all persons and authorities within the state, whether public or private, should be bound by and entitled to the benefit of laws publicly made, taking effect (generally) in the future and publicly administered in the courts.”</w:t>
      </w:r>
    </w:p>
    <w:p w14:paraId="5EBB313F" w14:textId="39AFE640" w:rsidR="009A29CD" w:rsidRDefault="00CC60D5" w:rsidP="00702A93">
      <w:r>
        <w:t xml:space="preserve">In addition, </w:t>
      </w:r>
      <w:r w:rsidR="00C8454C">
        <w:t xml:space="preserve">Lord Bingham believed </w:t>
      </w:r>
      <w:r w:rsidR="009A29CD">
        <w:t>the rule of law embodied the following ‘sub-rules’:</w:t>
      </w:r>
      <w:r w:rsidR="00A80DCB">
        <w:rPr>
          <w:rStyle w:val="FootnoteReference"/>
        </w:rPr>
        <w:footnoteReference w:id="5"/>
      </w:r>
      <w:r w:rsidR="009A29CD">
        <w:t xml:space="preserve"> </w:t>
      </w:r>
    </w:p>
    <w:p w14:paraId="68B3DA94" w14:textId="0701D937" w:rsidR="009A29CD" w:rsidRDefault="009A29CD" w:rsidP="00B31FAB">
      <w:pPr>
        <w:pStyle w:val="ListParagraph"/>
        <w:numPr>
          <w:ilvl w:val="0"/>
          <w:numId w:val="3"/>
        </w:numPr>
        <w:spacing w:after="120"/>
        <w:ind w:left="714" w:hanging="357"/>
        <w:contextualSpacing w:val="0"/>
      </w:pPr>
      <w:r>
        <w:t xml:space="preserve">The </w:t>
      </w:r>
      <w:r w:rsidRPr="009A29CD">
        <w:t>law must be accessible</w:t>
      </w:r>
      <w:r w:rsidR="0015609F">
        <w:t>,</w:t>
      </w:r>
      <w:r w:rsidRPr="009A29CD">
        <w:t xml:space="preserve"> and so </w:t>
      </w:r>
      <w:proofErr w:type="gramStart"/>
      <w:r w:rsidRPr="009A29CD">
        <w:t>far</w:t>
      </w:r>
      <w:proofErr w:type="gramEnd"/>
      <w:r w:rsidRPr="009A29CD">
        <w:t xml:space="preserve"> as possible</w:t>
      </w:r>
      <w:r w:rsidR="0015609F">
        <w:t>,</w:t>
      </w:r>
      <w:r w:rsidRPr="009A29CD">
        <w:t xml:space="preserve"> intelligible, clear and predictable</w:t>
      </w:r>
      <w:r>
        <w:t>.</w:t>
      </w:r>
    </w:p>
    <w:p w14:paraId="0A64CE48" w14:textId="07DD1C15" w:rsidR="009A29CD" w:rsidRDefault="009A29CD" w:rsidP="00B31FAB">
      <w:pPr>
        <w:pStyle w:val="ListParagraph"/>
        <w:numPr>
          <w:ilvl w:val="0"/>
          <w:numId w:val="3"/>
        </w:numPr>
        <w:spacing w:after="120"/>
        <w:ind w:left="714" w:hanging="357"/>
        <w:contextualSpacing w:val="0"/>
      </w:pPr>
      <w:r>
        <w:t>Q</w:t>
      </w:r>
      <w:r w:rsidRPr="009A29CD">
        <w:t>uestions of legal right and liability should ordinarily be resolved by application of the law and not the exercise of discretion</w:t>
      </w:r>
      <w:r>
        <w:t xml:space="preserve">. </w:t>
      </w:r>
    </w:p>
    <w:p w14:paraId="18D108AA" w14:textId="0EEFEC3A" w:rsidR="009A29CD" w:rsidRDefault="009A29CD" w:rsidP="00B31FAB">
      <w:pPr>
        <w:pStyle w:val="ListParagraph"/>
        <w:numPr>
          <w:ilvl w:val="0"/>
          <w:numId w:val="3"/>
        </w:numPr>
        <w:spacing w:after="120"/>
        <w:ind w:left="714" w:hanging="357"/>
        <w:contextualSpacing w:val="0"/>
      </w:pPr>
      <w:r>
        <w:lastRenderedPageBreak/>
        <w:t xml:space="preserve">The </w:t>
      </w:r>
      <w:r w:rsidRPr="009A29CD">
        <w:t xml:space="preserve">laws of the land should apply equally to all, </w:t>
      </w:r>
      <w:r>
        <w:t>except</w:t>
      </w:r>
      <w:r w:rsidRPr="009A29CD">
        <w:t xml:space="preserve"> to the extent that objective differences justify differentiation.</w:t>
      </w:r>
    </w:p>
    <w:p w14:paraId="76991174" w14:textId="4213CA0B" w:rsidR="001437B7" w:rsidRDefault="001437B7" w:rsidP="00B31FAB">
      <w:pPr>
        <w:pStyle w:val="ListParagraph"/>
        <w:numPr>
          <w:ilvl w:val="0"/>
          <w:numId w:val="3"/>
        </w:numPr>
        <w:spacing w:after="120"/>
        <w:ind w:left="714" w:hanging="357"/>
        <w:contextualSpacing w:val="0"/>
      </w:pPr>
      <w:r>
        <w:t>T</w:t>
      </w:r>
      <w:r w:rsidRPr="001437B7">
        <w:t>he law must afford adequate protection of fundamental human rights</w:t>
      </w:r>
      <w:r>
        <w:t xml:space="preserve">. </w:t>
      </w:r>
    </w:p>
    <w:p w14:paraId="4B6C4F9A" w14:textId="3B4F914A" w:rsidR="001437B7" w:rsidRDefault="005D512A" w:rsidP="00B31FAB">
      <w:pPr>
        <w:pStyle w:val="ListParagraph"/>
        <w:numPr>
          <w:ilvl w:val="0"/>
          <w:numId w:val="3"/>
        </w:numPr>
        <w:spacing w:after="120"/>
        <w:ind w:left="714" w:hanging="357"/>
        <w:contextualSpacing w:val="0"/>
      </w:pPr>
      <w:r>
        <w:t xml:space="preserve">There must be means for resolving civil disputes </w:t>
      </w:r>
      <w:r w:rsidRPr="005D512A">
        <w:t>without prohibitive cost or inordinate delay</w:t>
      </w:r>
      <w:r>
        <w:t xml:space="preserve">. </w:t>
      </w:r>
    </w:p>
    <w:p w14:paraId="7E347D0F" w14:textId="270964A6" w:rsidR="005D512A" w:rsidRDefault="005D512A" w:rsidP="00B31FAB">
      <w:pPr>
        <w:pStyle w:val="ListParagraph"/>
        <w:numPr>
          <w:ilvl w:val="0"/>
          <w:numId w:val="3"/>
        </w:numPr>
        <w:spacing w:after="120"/>
        <w:ind w:left="714" w:hanging="357"/>
        <w:contextualSpacing w:val="0"/>
      </w:pPr>
      <w:r>
        <w:t>M</w:t>
      </w:r>
      <w:r w:rsidRPr="005D512A">
        <w:t xml:space="preserve">inisters and public officers at all levels must exercise the powers conferred on them reasonably, in good faith, for the purpose for which the powers were conferred and without exceeding the limits of </w:t>
      </w:r>
      <w:r>
        <w:t>those</w:t>
      </w:r>
      <w:r w:rsidRPr="005D512A">
        <w:t xml:space="preserve"> powers.</w:t>
      </w:r>
    </w:p>
    <w:p w14:paraId="08FD1AA7" w14:textId="6B269190" w:rsidR="005D512A" w:rsidRDefault="005D512A" w:rsidP="00B31FAB">
      <w:pPr>
        <w:pStyle w:val="ListParagraph"/>
        <w:numPr>
          <w:ilvl w:val="0"/>
          <w:numId w:val="3"/>
        </w:numPr>
        <w:spacing w:after="120"/>
        <w:ind w:left="714" w:hanging="357"/>
        <w:contextualSpacing w:val="0"/>
      </w:pPr>
      <w:r>
        <w:t xml:space="preserve">Adjudicative </w:t>
      </w:r>
      <w:r w:rsidRPr="005D512A">
        <w:t>procedures provided by the state should be fair.</w:t>
      </w:r>
    </w:p>
    <w:p w14:paraId="3FC213B4" w14:textId="18A3E7B3" w:rsidR="005D512A" w:rsidRDefault="005D512A" w:rsidP="00B31FAB">
      <w:pPr>
        <w:pStyle w:val="ListParagraph"/>
        <w:numPr>
          <w:ilvl w:val="0"/>
          <w:numId w:val="3"/>
        </w:numPr>
        <w:spacing w:after="120"/>
        <w:ind w:left="714" w:hanging="357"/>
        <w:contextualSpacing w:val="0"/>
      </w:pPr>
      <w:r>
        <w:t xml:space="preserve">States must comply with their obligations under international law derived from treaties, and international customs and practices. </w:t>
      </w:r>
    </w:p>
    <w:p w14:paraId="749CEE98" w14:textId="0868BDFD" w:rsidR="00904675" w:rsidRDefault="00365CD4">
      <w:r>
        <w:t>The United Nations</w:t>
      </w:r>
      <w:r w:rsidR="00702A93">
        <w:t xml:space="preserve"> has adopted a meaning which largely aligns with </w:t>
      </w:r>
      <w:r w:rsidR="00904675">
        <w:t>this.</w:t>
      </w:r>
      <w:r w:rsidR="00702A93">
        <w:t xml:space="preserve"> </w:t>
      </w:r>
      <w:r w:rsidR="00904675">
        <w:t>I</w:t>
      </w:r>
      <w:r w:rsidR="00702A93">
        <w:t>t</w:t>
      </w:r>
      <w:r>
        <w:t xml:space="preserve"> </w:t>
      </w:r>
      <w:r w:rsidR="006C107A">
        <w:t>defines</w:t>
      </w:r>
      <w:r>
        <w:t xml:space="preserve"> the rule of law as</w:t>
      </w:r>
      <w:r w:rsidR="00904675">
        <w:t>:</w:t>
      </w:r>
    </w:p>
    <w:p w14:paraId="0B414F32" w14:textId="74DEA575" w:rsidR="00A33E9C" w:rsidRPr="00CB3634" w:rsidRDefault="00365CD4" w:rsidP="00050163">
      <w:pPr>
        <w:ind w:left="720" w:right="662"/>
        <w:rPr>
          <w:i/>
          <w:iCs/>
        </w:rPr>
      </w:pPr>
      <w:r w:rsidRPr="00CB3634">
        <w:rPr>
          <w:i/>
          <w:iCs/>
        </w:rPr>
        <w:t xml:space="preserve">a principle of governance in which all persons, </w:t>
      </w:r>
      <w:proofErr w:type="gramStart"/>
      <w:r w:rsidRPr="00CB3634">
        <w:rPr>
          <w:i/>
          <w:iCs/>
        </w:rPr>
        <w:t>institutions</w:t>
      </w:r>
      <w:proofErr w:type="gramEnd"/>
      <w:r w:rsidRPr="00CB3634">
        <w:rPr>
          <w:i/>
          <w:iCs/>
        </w:rPr>
        <w:t xml:space="preserve"> and entities, public and private, including the State itself, are accountable to laws that are publicly promulgated, equally enforced and independently adjudicated, and which are consistent with international human rights norms and standards.</w:t>
      </w:r>
      <w:r w:rsidR="00D67D57" w:rsidRPr="00CB3634">
        <w:rPr>
          <w:rStyle w:val="FootnoteReference"/>
          <w:i/>
          <w:iCs/>
        </w:rPr>
        <w:footnoteReference w:id="6"/>
      </w:r>
      <w:r w:rsidRPr="00CB3634">
        <w:rPr>
          <w:i/>
          <w:iCs/>
        </w:rPr>
        <w:t> </w:t>
      </w:r>
    </w:p>
    <w:p w14:paraId="773DD94B" w14:textId="354D542C" w:rsidR="00365CD4" w:rsidRDefault="00CC60D5">
      <w:r>
        <w:t>The doctrine of the rule of law</w:t>
      </w:r>
      <w:r w:rsidRPr="00CC60D5">
        <w:t xml:space="preserve"> applies in </w:t>
      </w:r>
      <w:r w:rsidR="00275F03">
        <w:t xml:space="preserve">Aotearoa </w:t>
      </w:r>
      <w:r w:rsidRPr="00CC60D5">
        <w:t>New Zealand as it does in England, in Europe and throughout the common law world.</w:t>
      </w:r>
      <w:r>
        <w:rPr>
          <w:rStyle w:val="FootnoteReference"/>
        </w:rPr>
        <w:footnoteReference w:id="7"/>
      </w:r>
      <w:r w:rsidRPr="00CC60D5">
        <w:t xml:space="preserve"> </w:t>
      </w:r>
      <w:r w:rsidR="00041608">
        <w:t xml:space="preserve">In </w:t>
      </w:r>
      <w:r w:rsidR="00D9175B">
        <w:t xml:space="preserve">Aotearoa </w:t>
      </w:r>
      <w:r w:rsidR="00041608">
        <w:t>New Zealand, the</w:t>
      </w:r>
      <w:r w:rsidR="006C107A">
        <w:t xml:space="preserve"> Legislation Design and Advisory Committee (LDAC) considers the following principles </w:t>
      </w:r>
      <w:r>
        <w:t>to be</w:t>
      </w:r>
      <w:r w:rsidR="006C107A">
        <w:t xml:space="preserve"> at </w:t>
      </w:r>
      <w:r w:rsidR="00041608">
        <w:t xml:space="preserve">the </w:t>
      </w:r>
      <w:r w:rsidR="00D9175B">
        <w:t>heart</w:t>
      </w:r>
      <w:r w:rsidR="00041608">
        <w:t xml:space="preserve"> of the doctrine of </w:t>
      </w:r>
      <w:r w:rsidR="00260CB4">
        <w:t>the rule of law</w:t>
      </w:r>
      <w:r w:rsidR="006C107A">
        <w:t>:</w:t>
      </w:r>
      <w:r w:rsidR="00D67D57">
        <w:rPr>
          <w:rStyle w:val="FootnoteReference"/>
        </w:rPr>
        <w:footnoteReference w:id="8"/>
      </w:r>
      <w:r w:rsidR="006C107A">
        <w:t xml:space="preserve"> </w:t>
      </w:r>
    </w:p>
    <w:p w14:paraId="13E9395D" w14:textId="3502B168" w:rsidR="006C107A" w:rsidRDefault="006C107A" w:rsidP="006C107A">
      <w:pPr>
        <w:pStyle w:val="ListParagraph"/>
        <w:numPr>
          <w:ilvl w:val="0"/>
          <w:numId w:val="1"/>
        </w:numPr>
      </w:pPr>
      <w:r w:rsidRPr="006C107A">
        <w:t>Everyone is subject to the law, including the Government</w:t>
      </w:r>
      <w:r w:rsidR="00823859">
        <w:t>;</w:t>
      </w:r>
    </w:p>
    <w:p w14:paraId="00238943" w14:textId="5378A294" w:rsidR="006C107A" w:rsidRDefault="006C107A" w:rsidP="006C107A">
      <w:pPr>
        <w:pStyle w:val="ListParagraph"/>
        <w:numPr>
          <w:ilvl w:val="0"/>
          <w:numId w:val="1"/>
        </w:numPr>
      </w:pPr>
      <w:r w:rsidRPr="006C107A">
        <w:t>The law should be clear, and clearly enforceable</w:t>
      </w:r>
      <w:r w:rsidR="00823859">
        <w:t>;</w:t>
      </w:r>
    </w:p>
    <w:p w14:paraId="63A8B066" w14:textId="34E8511E" w:rsidR="006C107A" w:rsidRDefault="006C107A" w:rsidP="006C107A">
      <w:pPr>
        <w:pStyle w:val="ListParagraph"/>
        <w:numPr>
          <w:ilvl w:val="0"/>
          <w:numId w:val="1"/>
        </w:numPr>
      </w:pPr>
      <w:r w:rsidRPr="006C107A">
        <w:t>There should be an independent, impartial judiciary</w:t>
      </w:r>
      <w:r w:rsidR="00823859">
        <w:t xml:space="preserve">; and </w:t>
      </w:r>
    </w:p>
    <w:p w14:paraId="2065B996" w14:textId="29CEA14D" w:rsidR="00766F96" w:rsidRDefault="00273016" w:rsidP="00CA59DF">
      <w:pPr>
        <w:pStyle w:val="ListParagraph"/>
        <w:numPr>
          <w:ilvl w:val="0"/>
          <w:numId w:val="1"/>
        </w:numPr>
      </w:pPr>
      <w:r w:rsidRPr="00273016">
        <w:t>There should be effective access to justice and redress for individual</w:t>
      </w:r>
      <w:r w:rsidR="00D939ED">
        <w:t xml:space="preserve">s. </w:t>
      </w:r>
    </w:p>
    <w:p w14:paraId="6B18DADE" w14:textId="77777777" w:rsidR="008A58A3" w:rsidRDefault="008A58A3" w:rsidP="00DD0CCB">
      <w:pPr>
        <w:rPr>
          <w:i/>
          <w:iCs/>
        </w:rPr>
      </w:pPr>
      <w:r>
        <w:rPr>
          <w:i/>
          <w:iCs/>
        </w:rPr>
        <w:t>What does the rule of law look like in Aotearoa New Zealand?</w:t>
      </w:r>
    </w:p>
    <w:p w14:paraId="0970EE99" w14:textId="0DC221B9" w:rsidR="00611E92" w:rsidRDefault="00743F1B" w:rsidP="00DD0CCB">
      <w:r>
        <w:t>The rule of law is not an</w:t>
      </w:r>
      <w:r w:rsidR="0009329A">
        <w:t xml:space="preserve"> abstract concept.</w:t>
      </w:r>
      <w:r w:rsidR="00E97314">
        <w:t xml:space="preserve"> It can be seen in many of our </w:t>
      </w:r>
      <w:r w:rsidR="006051AD">
        <w:t xml:space="preserve">legal and constitutional </w:t>
      </w:r>
      <w:r w:rsidR="00D4587E">
        <w:t>arrangements, and in mechanisms designed to ensure the fair and just application of the law</w:t>
      </w:r>
      <w:r w:rsidR="006051AD">
        <w:t>. For example:</w:t>
      </w:r>
    </w:p>
    <w:p w14:paraId="678B73BC" w14:textId="535CE336" w:rsidR="002E1F83" w:rsidRDefault="002E1F83" w:rsidP="00050163">
      <w:pPr>
        <w:pStyle w:val="ListParagraph"/>
        <w:numPr>
          <w:ilvl w:val="0"/>
          <w:numId w:val="5"/>
        </w:numPr>
        <w:spacing w:after="120"/>
        <w:ind w:left="714" w:hanging="357"/>
        <w:contextualSpacing w:val="0"/>
      </w:pPr>
      <w:r>
        <w:t xml:space="preserve">Individuals are presumed innocent until proven </w:t>
      </w:r>
      <w:r w:rsidR="00626B0A">
        <w:t>guilty and</w:t>
      </w:r>
      <w:r>
        <w:t xml:space="preserve"> are not deprived of their liberty </w:t>
      </w:r>
      <w:r w:rsidR="00814916">
        <w:t>without the opportunity for a fair hearing before an impartial court or tribunal.</w:t>
      </w:r>
    </w:p>
    <w:p w14:paraId="7AEDAB00" w14:textId="694D09CC" w:rsidR="00626B0A" w:rsidRDefault="00626B0A" w:rsidP="00050163">
      <w:pPr>
        <w:pStyle w:val="ListParagraph"/>
        <w:numPr>
          <w:ilvl w:val="0"/>
          <w:numId w:val="5"/>
        </w:numPr>
        <w:spacing w:after="120"/>
        <w:ind w:left="714" w:hanging="357"/>
        <w:contextualSpacing w:val="0"/>
      </w:pPr>
      <w:r>
        <w:t xml:space="preserve">Natural justice, for example </w:t>
      </w:r>
      <w:r w:rsidR="00D35719">
        <w:t>the procedural requirements of criminal law</w:t>
      </w:r>
      <w:r w:rsidR="00CD6B5C">
        <w:t xml:space="preserve">, </w:t>
      </w:r>
      <w:r w:rsidR="001122CD">
        <w:t>t</w:t>
      </w:r>
      <w:r w:rsidR="00CD6B5C">
        <w:t>he provision of legal aid to those who cannot afford legal representation</w:t>
      </w:r>
      <w:r w:rsidR="001122CD">
        <w:t>, and the protection of confidential communication</w:t>
      </w:r>
      <w:r w:rsidR="002F23F7">
        <w:t>s</w:t>
      </w:r>
      <w:r w:rsidR="001122CD">
        <w:t xml:space="preserve"> between a lawyer and client</w:t>
      </w:r>
      <w:r w:rsidR="00CD6B5C">
        <w:t xml:space="preserve">. </w:t>
      </w:r>
    </w:p>
    <w:p w14:paraId="197473D6" w14:textId="1DFF17FA" w:rsidR="0071026E" w:rsidRPr="00CB3634" w:rsidRDefault="00ED373D" w:rsidP="00050163">
      <w:pPr>
        <w:pStyle w:val="ListParagraph"/>
        <w:numPr>
          <w:ilvl w:val="0"/>
          <w:numId w:val="5"/>
        </w:numPr>
        <w:spacing w:after="120"/>
        <w:ind w:left="714" w:hanging="357"/>
        <w:contextualSpacing w:val="0"/>
      </w:pPr>
      <w:r w:rsidRPr="00CB3634">
        <w:t>The protection of human rights</w:t>
      </w:r>
      <w:r w:rsidR="001122CD" w:rsidRPr="00CB3634">
        <w:t xml:space="preserve"> and institutions such as the Human Rights Commission, which provides citizens access to </w:t>
      </w:r>
      <w:r w:rsidR="002F23F7">
        <w:t>redress in the event of discrimination.</w:t>
      </w:r>
    </w:p>
    <w:p w14:paraId="4A33FC53" w14:textId="2C28C529" w:rsidR="0071026E" w:rsidRDefault="00BF0677" w:rsidP="00050163">
      <w:pPr>
        <w:pStyle w:val="ListParagraph"/>
        <w:numPr>
          <w:ilvl w:val="0"/>
          <w:numId w:val="5"/>
        </w:numPr>
        <w:spacing w:after="120"/>
        <w:ind w:left="714" w:hanging="357"/>
        <w:contextualSpacing w:val="0"/>
      </w:pPr>
      <w:r>
        <w:lastRenderedPageBreak/>
        <w:t>An i</w:t>
      </w:r>
      <w:r w:rsidR="009E6B65">
        <w:t xml:space="preserve">ndependent and impartial </w:t>
      </w:r>
      <w:r>
        <w:t>judiciary.</w:t>
      </w:r>
      <w:r w:rsidR="00BE5538">
        <w:t xml:space="preserve"> </w:t>
      </w:r>
      <w:r w:rsidR="001122CD">
        <w:t>In Aotearoa New Zealand, J</w:t>
      </w:r>
      <w:r w:rsidR="00BE5538">
        <w:t xml:space="preserve">udges are independent </w:t>
      </w:r>
      <w:r w:rsidR="00920FAC">
        <w:t xml:space="preserve">from Government, </w:t>
      </w:r>
      <w:proofErr w:type="gramStart"/>
      <w:r w:rsidR="00920FAC">
        <w:t>and</w:t>
      </w:r>
      <w:r w:rsidR="001122CD">
        <w:t xml:space="preserve"> also</w:t>
      </w:r>
      <w:proofErr w:type="gramEnd"/>
      <w:r w:rsidR="00920FAC">
        <w:t xml:space="preserve"> independent from all other judges.</w:t>
      </w:r>
      <w:r w:rsidR="00D35719">
        <w:t xml:space="preserve"> </w:t>
      </w:r>
      <w:r w:rsidR="001122CD">
        <w:t>This enables them to make decisions free from influence or direction.</w:t>
      </w:r>
    </w:p>
    <w:p w14:paraId="2B949B5C" w14:textId="4B57ECC8" w:rsidR="003C3AE1" w:rsidRDefault="003C3AE1" w:rsidP="00050163">
      <w:pPr>
        <w:pStyle w:val="ListParagraph"/>
        <w:numPr>
          <w:ilvl w:val="0"/>
          <w:numId w:val="5"/>
        </w:numPr>
        <w:spacing w:after="120"/>
        <w:ind w:left="714" w:hanging="357"/>
        <w:contextualSpacing w:val="0"/>
      </w:pPr>
      <w:r>
        <w:t>Citizens can</w:t>
      </w:r>
      <w:r w:rsidR="001739E2">
        <w:t xml:space="preserve"> openly and freely criticise the law and its administration.</w:t>
      </w:r>
    </w:p>
    <w:p w14:paraId="226709D9" w14:textId="7234BCF7" w:rsidR="0071026E" w:rsidRDefault="00626B0A" w:rsidP="0071026E">
      <w:pPr>
        <w:pStyle w:val="ListParagraph"/>
        <w:numPr>
          <w:ilvl w:val="0"/>
          <w:numId w:val="5"/>
        </w:numPr>
      </w:pPr>
      <w:r>
        <w:t>Respect for property, with a fair and rigorous process where it is to be taken from a citizen, or its use restricted in some way.</w:t>
      </w:r>
    </w:p>
    <w:p w14:paraId="78837ABD" w14:textId="7B4F4AF5" w:rsidR="002F23F7" w:rsidRDefault="002F23F7" w:rsidP="0071026E">
      <w:pPr>
        <w:pStyle w:val="ListParagraph"/>
        <w:numPr>
          <w:ilvl w:val="0"/>
          <w:numId w:val="5"/>
        </w:numPr>
      </w:pPr>
      <w:r>
        <w:t xml:space="preserve">Aotearoa has a strong and independent legal profession, equipped </w:t>
      </w:r>
      <w:r w:rsidR="003C3AE1">
        <w:t>to advise</w:t>
      </w:r>
      <w:r w:rsidR="001739E2">
        <w:t xml:space="preserve"> citizens on</w:t>
      </w:r>
      <w:r w:rsidR="003E0D59">
        <w:t xml:space="preserve"> their rights and freedoms, and assist them in availing themselves of these rights, without fear of repercussion.</w:t>
      </w:r>
    </w:p>
    <w:p w14:paraId="76292347" w14:textId="53899015" w:rsidR="00CB1CEC" w:rsidRDefault="00CB1CEC" w:rsidP="00DD0CCB">
      <w:pPr>
        <w:rPr>
          <w:b/>
          <w:bCs/>
        </w:rPr>
      </w:pPr>
      <w:r w:rsidRPr="00CB3634">
        <w:rPr>
          <w:b/>
          <w:bCs/>
        </w:rPr>
        <w:t>The Law Society’s role</w:t>
      </w:r>
    </w:p>
    <w:p w14:paraId="17732B5E" w14:textId="15119139" w:rsidR="00AE50CC" w:rsidRPr="00CB3634" w:rsidRDefault="00AE50CC" w:rsidP="00DD0CCB">
      <w:r>
        <w:t xml:space="preserve">The Lawyers and Conveyancers Act 2006, and the </w:t>
      </w:r>
      <w:r w:rsidRPr="00FD670B">
        <w:rPr>
          <w:lang w:val="en-US"/>
        </w:rPr>
        <w:t>Lawyers and Conveyancers Act (Lawyers: Conduct and Client Care) Rules 2008</w:t>
      </w:r>
      <w:r>
        <w:t>, impose a fundamental obligation on all lawyers in Aotearoa New Zealand to uphold the rule of law.</w:t>
      </w:r>
      <w:r>
        <w:rPr>
          <w:rStyle w:val="FootnoteReference"/>
        </w:rPr>
        <w:footnoteReference w:id="9"/>
      </w:r>
      <w:r>
        <w:t xml:space="preserve"> This requires lawyers to comply with the law, and to hold themselves, and their clients, accountable to the law. Importantly, it requires lawyers to act in a manner that is consistent with the core principles of the rule of law, and to highlight incidents or behaviours which undermine the rule of law.</w:t>
      </w:r>
    </w:p>
    <w:p w14:paraId="194F700F" w14:textId="453A465D" w:rsidR="00CB1CEC" w:rsidRDefault="000F1A49" w:rsidP="00DD0CCB">
      <w:r>
        <w:t xml:space="preserve">Separately to the obligations of individual lawyers, the Law Society has a statutory obligation under the LCA to </w:t>
      </w:r>
      <w:r w:rsidR="004A46DA">
        <w:t>“</w:t>
      </w:r>
      <w:r w:rsidR="004A46DA" w:rsidRPr="004A46DA">
        <w:t>assist and promote, for the purpose of upholding the rule of law and facilitating the administration of justice in New Zealand, the reform of the law</w:t>
      </w:r>
      <w:r w:rsidR="004A46DA">
        <w:t>”.</w:t>
      </w:r>
      <w:r w:rsidR="004A46DA">
        <w:rPr>
          <w:rStyle w:val="FootnoteReference"/>
        </w:rPr>
        <w:footnoteReference w:id="10"/>
      </w:r>
      <w:r w:rsidR="004A46DA">
        <w:t xml:space="preserve"> </w:t>
      </w:r>
    </w:p>
    <w:p w14:paraId="4CEA9EA7" w14:textId="6E4DF66C" w:rsidR="00670B58" w:rsidRDefault="00670B58" w:rsidP="00DD0CCB">
      <w:r>
        <w:t xml:space="preserve">The Law Society </w:t>
      </w:r>
      <w:r w:rsidR="00A87D74">
        <w:t>does this</w:t>
      </w:r>
      <w:r>
        <w:t xml:space="preserve"> in several ways:</w:t>
      </w:r>
      <w:r w:rsidR="008E1522">
        <w:t xml:space="preserve"> </w:t>
      </w:r>
    </w:p>
    <w:p w14:paraId="55FC4D82" w14:textId="77777777" w:rsidR="008E4A6C" w:rsidRDefault="00C94E61" w:rsidP="00050163">
      <w:pPr>
        <w:pStyle w:val="ListParagraph"/>
        <w:numPr>
          <w:ilvl w:val="0"/>
          <w:numId w:val="4"/>
        </w:numPr>
        <w:spacing w:after="120"/>
        <w:ind w:left="714" w:hanging="357"/>
        <w:contextualSpacing w:val="0"/>
      </w:pPr>
      <w:r>
        <w:t xml:space="preserve">review and comment </w:t>
      </w:r>
      <w:r w:rsidR="00744CFB">
        <w:t>o</w:t>
      </w:r>
      <w:r w:rsidR="002051CF">
        <w:t>n</w:t>
      </w:r>
      <w:r w:rsidR="00744CFB">
        <w:t xml:space="preserve"> bills before Select Committee,</w:t>
      </w:r>
      <w:r w:rsidR="002051CF">
        <w:t xml:space="preserve"> as well as bills proceeding under urgency</w:t>
      </w:r>
      <w:r w:rsidR="008E4A6C">
        <w:t xml:space="preserve"> or with truncated consultation periods.</w:t>
      </w:r>
    </w:p>
    <w:p w14:paraId="1682239F" w14:textId="77777777" w:rsidR="003572BD" w:rsidRDefault="003572BD" w:rsidP="003572BD">
      <w:pPr>
        <w:pStyle w:val="ListParagraph"/>
        <w:numPr>
          <w:ilvl w:val="0"/>
          <w:numId w:val="4"/>
        </w:numPr>
        <w:spacing w:after="120"/>
        <w:ind w:left="714" w:hanging="357"/>
        <w:contextualSpacing w:val="0"/>
      </w:pPr>
      <w:r>
        <w:t xml:space="preserve">intervene in court proceedings which raise rule of law issues. </w:t>
      </w:r>
    </w:p>
    <w:p w14:paraId="23D73836" w14:textId="1BB0F1F4" w:rsidR="00670B58" w:rsidRDefault="008E4A6C" w:rsidP="00050163">
      <w:pPr>
        <w:pStyle w:val="ListParagraph"/>
        <w:numPr>
          <w:ilvl w:val="0"/>
          <w:numId w:val="4"/>
        </w:numPr>
        <w:spacing w:after="120"/>
        <w:ind w:left="714" w:hanging="357"/>
        <w:contextualSpacing w:val="0"/>
      </w:pPr>
      <w:r>
        <w:t xml:space="preserve">engagement with government departments undertaking </w:t>
      </w:r>
      <w:r w:rsidR="00095A0B">
        <w:t xml:space="preserve">formal and informal </w:t>
      </w:r>
      <w:r>
        <w:t>consultation, including participation on working groups</w:t>
      </w:r>
      <w:r w:rsidR="00B738F3">
        <w:t>.</w:t>
      </w:r>
    </w:p>
    <w:p w14:paraId="75972E42" w14:textId="6E3ED5C2" w:rsidR="00670B58" w:rsidRDefault="00A17E14" w:rsidP="00050163">
      <w:pPr>
        <w:pStyle w:val="ListParagraph"/>
        <w:numPr>
          <w:ilvl w:val="0"/>
          <w:numId w:val="4"/>
        </w:numPr>
        <w:spacing w:after="120"/>
        <w:ind w:left="714" w:hanging="357"/>
        <w:contextualSpacing w:val="0"/>
      </w:pPr>
      <w:r>
        <w:t>engage</w:t>
      </w:r>
      <w:r w:rsidR="00D517AB">
        <w:t>ment</w:t>
      </w:r>
      <w:r>
        <w:t xml:space="preserve"> with stakeholders</w:t>
      </w:r>
      <w:r w:rsidR="00B738F3">
        <w:t xml:space="preserve"> (including Ministers and government departments)</w:t>
      </w:r>
      <w:r>
        <w:t xml:space="preserve"> </w:t>
      </w:r>
      <w:r w:rsidR="008E1522">
        <w:t>on law reform proposal</w:t>
      </w:r>
      <w:r w:rsidR="00D517AB">
        <w:t xml:space="preserve">s or </w:t>
      </w:r>
      <w:r w:rsidR="00B738F3">
        <w:t xml:space="preserve">rule of law </w:t>
      </w:r>
      <w:r w:rsidR="00D517AB">
        <w:t>concerns</w:t>
      </w:r>
      <w:r w:rsidR="008E1522">
        <w:t xml:space="preserve"> </w:t>
      </w:r>
    </w:p>
    <w:p w14:paraId="31A50D46" w14:textId="1F1E02D8" w:rsidR="00AA44B8" w:rsidRDefault="001A2D67" w:rsidP="00050163">
      <w:pPr>
        <w:pStyle w:val="ListParagraph"/>
        <w:numPr>
          <w:ilvl w:val="0"/>
          <w:numId w:val="4"/>
        </w:numPr>
        <w:spacing w:after="120"/>
        <w:ind w:left="714" w:hanging="357"/>
        <w:contextualSpacing w:val="0"/>
      </w:pPr>
      <w:r>
        <w:t xml:space="preserve">publicly </w:t>
      </w:r>
      <w:r w:rsidR="00A17E14">
        <w:t xml:space="preserve">comment on matters which impact access to justice, </w:t>
      </w:r>
      <w:r w:rsidR="003E7A4B">
        <w:t xml:space="preserve">fundamental rights and freedoms, and </w:t>
      </w:r>
      <w:r>
        <w:t xml:space="preserve">the administration of justice, and </w:t>
      </w:r>
      <w:r w:rsidR="003E7A4B">
        <w:t xml:space="preserve">ultimately undermine the rule of law. </w:t>
      </w:r>
    </w:p>
    <w:p w14:paraId="789AAB3B" w14:textId="36E0CC36" w:rsidR="00D4587E" w:rsidRDefault="00D4587E" w:rsidP="00CB3634">
      <w:pPr>
        <w:pStyle w:val="ListParagraph"/>
        <w:numPr>
          <w:ilvl w:val="0"/>
          <w:numId w:val="4"/>
        </w:numPr>
      </w:pPr>
      <w:r>
        <w:t>development of resources for the public and the legal profession.</w:t>
      </w:r>
    </w:p>
    <w:p w14:paraId="5441C1F7" w14:textId="2BCF5F6B" w:rsidR="00D4587E" w:rsidRDefault="00722288" w:rsidP="00DD0CCB">
      <w:r>
        <w:t xml:space="preserve">The rule of law is relevant to the work that each of our specialist law reform committees undertakes, </w:t>
      </w:r>
      <w:r w:rsidR="0046509B">
        <w:t>but</w:t>
      </w:r>
      <w:r>
        <w:t xml:space="preserve"> </w:t>
      </w:r>
      <w:r w:rsidR="00FB7B56">
        <w:t xml:space="preserve">is </w:t>
      </w:r>
      <w:r w:rsidR="0046509B">
        <w:t xml:space="preserve">a specific and primary focus of </w:t>
      </w:r>
      <w:r w:rsidR="00FB7B56">
        <w:t>the</w:t>
      </w:r>
      <w:r w:rsidR="00F55F70">
        <w:t xml:space="preserve"> </w:t>
      </w:r>
      <w:hyperlink r:id="rId8" w:anchor=":~:text=The%20Public%20Law%20Committee%20was,The%20Rule%20of%20Law." w:history="1">
        <w:r w:rsidR="00F55F70">
          <w:rPr>
            <w:rStyle w:val="Hyperlink"/>
          </w:rPr>
          <w:t>Public Law Committee</w:t>
        </w:r>
      </w:hyperlink>
      <w:r w:rsidR="00D4587E">
        <w:t>.</w:t>
      </w:r>
    </w:p>
    <w:p w14:paraId="4241F727" w14:textId="1E85D4DE" w:rsidR="00D537AD" w:rsidRPr="00611E92" w:rsidRDefault="00611E92" w:rsidP="00DD0CCB">
      <w:pPr>
        <w:rPr>
          <w:b/>
          <w:bCs/>
        </w:rPr>
      </w:pPr>
      <w:r>
        <w:rPr>
          <w:b/>
          <w:bCs/>
        </w:rPr>
        <w:t xml:space="preserve">Further </w:t>
      </w:r>
      <w:r w:rsidR="00D537AD" w:rsidRPr="00CB3634">
        <w:rPr>
          <w:b/>
          <w:bCs/>
        </w:rPr>
        <w:t>Resources</w:t>
      </w:r>
    </w:p>
    <w:p w14:paraId="22EF1E07" w14:textId="350AB9D9" w:rsidR="00D537AD" w:rsidRPr="00CB3634" w:rsidRDefault="00D4587E" w:rsidP="00DD0CCB">
      <w:r>
        <w:t>Useful references for those who wish to read more about the rule of law include:</w:t>
      </w:r>
    </w:p>
    <w:p w14:paraId="76FBD835" w14:textId="53D297C5" w:rsidR="00DD4E08" w:rsidRDefault="00C74D0D" w:rsidP="00FC4C50">
      <w:pPr>
        <w:pStyle w:val="ListParagraph"/>
        <w:numPr>
          <w:ilvl w:val="0"/>
          <w:numId w:val="6"/>
        </w:numPr>
        <w:spacing w:after="120"/>
        <w:ind w:left="714" w:hanging="357"/>
        <w:contextualSpacing w:val="0"/>
      </w:pPr>
      <w:r w:rsidRPr="00C74D0D">
        <w:t>Professor Philip Joseph</w:t>
      </w:r>
      <w:r>
        <w:t xml:space="preserve">’s book, </w:t>
      </w:r>
      <w:r w:rsidR="00A0018E" w:rsidRPr="00A0018E">
        <w:rPr>
          <w:i/>
          <w:iCs/>
        </w:rPr>
        <w:t>Joseph on Constitutional and Administrative Law</w:t>
      </w:r>
      <w:r w:rsidR="00334CC4">
        <w:rPr>
          <w:i/>
          <w:iCs/>
        </w:rPr>
        <w:t>,</w:t>
      </w:r>
      <w:r w:rsidR="00A0018E">
        <w:t xml:space="preserve"> </w:t>
      </w:r>
      <w:r w:rsidR="00334CC4">
        <w:t xml:space="preserve">published by </w:t>
      </w:r>
      <w:r w:rsidR="00334CC4" w:rsidRPr="00334CC4">
        <w:t>Thomson Reuters</w:t>
      </w:r>
      <w:r w:rsidR="00A0018E">
        <w:t>.</w:t>
      </w:r>
    </w:p>
    <w:p w14:paraId="701540E1" w14:textId="40E04675" w:rsidR="0054264E" w:rsidRDefault="00D4587E" w:rsidP="00FC4C50">
      <w:pPr>
        <w:pStyle w:val="ListParagraph"/>
        <w:numPr>
          <w:ilvl w:val="0"/>
          <w:numId w:val="6"/>
        </w:numPr>
        <w:spacing w:after="120"/>
        <w:ind w:left="714" w:hanging="357"/>
        <w:contextualSpacing w:val="0"/>
      </w:pPr>
      <w:r w:rsidRPr="00050163">
        <w:lastRenderedPageBreak/>
        <w:t>Tom Bingham’s</w:t>
      </w:r>
      <w:r>
        <w:rPr>
          <w:i/>
          <w:iCs/>
        </w:rPr>
        <w:t xml:space="preserve"> </w:t>
      </w:r>
      <w:r>
        <w:t xml:space="preserve">2011 book, </w:t>
      </w:r>
      <w:r>
        <w:rPr>
          <w:i/>
          <w:iCs/>
        </w:rPr>
        <w:t>The Rule of Law</w:t>
      </w:r>
      <w:r>
        <w:t>, published by Penguin Books.</w:t>
      </w:r>
    </w:p>
    <w:p w14:paraId="45DEA0C4" w14:textId="3CBA785B" w:rsidR="004F435D" w:rsidRDefault="00DE2165" w:rsidP="00FC4C50">
      <w:pPr>
        <w:pStyle w:val="ListParagraph"/>
        <w:numPr>
          <w:ilvl w:val="0"/>
          <w:numId w:val="6"/>
        </w:numPr>
        <w:spacing w:after="120"/>
        <w:ind w:left="714" w:hanging="357"/>
        <w:contextualSpacing w:val="0"/>
      </w:pPr>
      <w:hyperlink r:id="rId9" w:history="1">
        <w:r w:rsidR="004F435D" w:rsidRPr="004F435D">
          <w:rPr>
            <w:rStyle w:val="Hyperlink"/>
          </w:rPr>
          <w:t>Chapter 4</w:t>
        </w:r>
      </w:hyperlink>
      <w:r w:rsidR="004F435D">
        <w:t xml:space="preserve"> of the Legislative and Design Committee’s Legislation Guidelines (2021).</w:t>
      </w:r>
    </w:p>
    <w:p w14:paraId="5F4F314E" w14:textId="0356E228" w:rsidR="00D4587E" w:rsidRDefault="00D4587E" w:rsidP="00FC4C50">
      <w:pPr>
        <w:pStyle w:val="ListParagraph"/>
        <w:numPr>
          <w:ilvl w:val="0"/>
          <w:numId w:val="6"/>
        </w:numPr>
        <w:spacing w:after="120"/>
        <w:ind w:left="714" w:hanging="357"/>
        <w:contextualSpacing w:val="0"/>
      </w:pPr>
      <w:r>
        <w:t xml:space="preserve">The </w:t>
      </w:r>
      <w:hyperlink r:id="rId10" w:history="1">
        <w:r w:rsidRPr="00D4587E">
          <w:rPr>
            <w:rStyle w:val="Hyperlink"/>
          </w:rPr>
          <w:t>Rule of Law Education Centre</w:t>
        </w:r>
      </w:hyperlink>
      <w:r>
        <w:t xml:space="preserve"> in Australia.</w:t>
      </w:r>
    </w:p>
    <w:p w14:paraId="1004DF12" w14:textId="5AD95E40" w:rsidR="00D4587E" w:rsidRDefault="00D4587E" w:rsidP="00FC4C50">
      <w:pPr>
        <w:pStyle w:val="ListParagraph"/>
        <w:numPr>
          <w:ilvl w:val="0"/>
          <w:numId w:val="6"/>
        </w:numPr>
        <w:spacing w:after="120"/>
        <w:ind w:left="714" w:hanging="357"/>
        <w:contextualSpacing w:val="0"/>
      </w:pPr>
      <w:r>
        <w:t xml:space="preserve">The Venice Commission’s (a part of the Council of Europe) </w:t>
      </w:r>
      <w:hyperlink r:id="rId11" w:history="1">
        <w:r w:rsidRPr="00D4587E">
          <w:rPr>
            <w:rStyle w:val="Hyperlink"/>
          </w:rPr>
          <w:t>Rule of Law Checklist</w:t>
        </w:r>
      </w:hyperlink>
      <w:r>
        <w:t xml:space="preserve"> (note: this is prepared for assessing the rule of law in European states). </w:t>
      </w:r>
    </w:p>
    <w:p w14:paraId="7EF428C2" w14:textId="6ABA1C84" w:rsidR="00D4587E" w:rsidRDefault="00DE2165" w:rsidP="00050163">
      <w:pPr>
        <w:pStyle w:val="ListParagraph"/>
        <w:numPr>
          <w:ilvl w:val="0"/>
          <w:numId w:val="6"/>
        </w:numPr>
      </w:pPr>
      <w:hyperlink r:id="rId12" w:history="1">
        <w:r w:rsidR="00D4587E" w:rsidRPr="00D4587E">
          <w:rPr>
            <w:rStyle w:val="Hyperlink"/>
          </w:rPr>
          <w:t>Bingham Centre for the Rule of Law</w:t>
        </w:r>
      </w:hyperlink>
      <w:r w:rsidR="00D4587E">
        <w:t>, established in 2010 by the British Institute of International and Comparative Law.</w:t>
      </w:r>
    </w:p>
    <w:p w14:paraId="78E2CD97" w14:textId="77777777" w:rsidR="0054264E" w:rsidRPr="00CB1CEC" w:rsidRDefault="0054264E" w:rsidP="00DD0CCB"/>
    <w:sectPr w:rsidR="0054264E" w:rsidRPr="00CB1CE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F988" w14:textId="77777777" w:rsidR="00A05B1D" w:rsidRDefault="00A05B1D" w:rsidP="00D67D57">
      <w:pPr>
        <w:spacing w:after="0" w:line="240" w:lineRule="auto"/>
      </w:pPr>
      <w:r>
        <w:separator/>
      </w:r>
    </w:p>
  </w:endnote>
  <w:endnote w:type="continuationSeparator" w:id="0">
    <w:p w14:paraId="54064C7B" w14:textId="77777777" w:rsidR="00A05B1D" w:rsidRDefault="00A05B1D" w:rsidP="00D67D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A988F" w14:textId="77777777" w:rsidR="00A05B1D" w:rsidRDefault="00A05B1D" w:rsidP="00D67D57">
      <w:pPr>
        <w:spacing w:after="0" w:line="240" w:lineRule="auto"/>
      </w:pPr>
      <w:r>
        <w:separator/>
      </w:r>
    </w:p>
  </w:footnote>
  <w:footnote w:type="continuationSeparator" w:id="0">
    <w:p w14:paraId="3D03DAB4" w14:textId="77777777" w:rsidR="00A05B1D" w:rsidRDefault="00A05B1D" w:rsidP="00D67D57">
      <w:pPr>
        <w:spacing w:after="0" w:line="240" w:lineRule="auto"/>
      </w:pPr>
      <w:r>
        <w:continuationSeparator/>
      </w:r>
    </w:p>
  </w:footnote>
  <w:footnote w:id="1">
    <w:p w14:paraId="2412E932" w14:textId="77777777" w:rsidR="00BE616E" w:rsidRPr="00221DD2" w:rsidRDefault="00BE616E" w:rsidP="00BE616E">
      <w:pPr>
        <w:pStyle w:val="FootnoteText"/>
        <w:ind w:left="709" w:hanging="709"/>
        <w:rPr>
          <w:i/>
          <w:iCs/>
          <w:lang w:val="en-US"/>
        </w:rPr>
      </w:pPr>
      <w:r>
        <w:rPr>
          <w:rStyle w:val="FootnoteReference"/>
        </w:rPr>
        <w:footnoteRef/>
      </w:r>
      <w:r>
        <w:t xml:space="preserve"> </w:t>
      </w:r>
      <w:r>
        <w:rPr>
          <w:lang w:val="en-US"/>
        </w:rPr>
        <w:tab/>
      </w:r>
      <w:r>
        <w:t>This is sometimes called a ‘thin conception’ of the rule of law</w:t>
      </w:r>
      <w:r>
        <w:rPr>
          <w:lang w:val="en-US"/>
        </w:rPr>
        <w:t xml:space="preserve">. See: </w:t>
      </w:r>
      <w:r w:rsidRPr="00221DD2">
        <w:rPr>
          <w:lang w:val="en-US"/>
        </w:rPr>
        <w:t xml:space="preserve">Matthew SR Palmer </w:t>
      </w:r>
      <w:r>
        <w:rPr>
          <w:lang w:val="en-US"/>
        </w:rPr>
        <w:t xml:space="preserve">and </w:t>
      </w:r>
      <w:r w:rsidRPr="00221DD2">
        <w:rPr>
          <w:lang w:val="en-US"/>
        </w:rPr>
        <w:t>Dean R Knight</w:t>
      </w:r>
      <w:r>
        <w:rPr>
          <w:lang w:val="en-US"/>
        </w:rPr>
        <w:t xml:space="preserve"> </w:t>
      </w:r>
      <w:proofErr w:type="gramStart"/>
      <w:r w:rsidRPr="00221DD2">
        <w:rPr>
          <w:i/>
          <w:iCs/>
          <w:lang w:val="en-US"/>
        </w:rPr>
        <w:t>The</w:t>
      </w:r>
      <w:proofErr w:type="gramEnd"/>
      <w:r w:rsidRPr="00221DD2">
        <w:rPr>
          <w:i/>
          <w:iCs/>
          <w:lang w:val="en-US"/>
        </w:rPr>
        <w:t xml:space="preserve"> Constitution of New Zealand: A Contextual Analysis</w:t>
      </w:r>
      <w:r>
        <w:rPr>
          <w:lang w:val="en-US"/>
        </w:rPr>
        <w:t xml:space="preserve"> (1</w:t>
      </w:r>
      <w:r w:rsidRPr="000003F7">
        <w:rPr>
          <w:vertAlign w:val="superscript"/>
          <w:lang w:val="en-US"/>
        </w:rPr>
        <w:t>st</w:t>
      </w:r>
      <w:r>
        <w:rPr>
          <w:lang w:val="en-US"/>
        </w:rPr>
        <w:t xml:space="preserve"> ed, </w:t>
      </w:r>
      <w:r w:rsidRPr="00221DD2">
        <w:rPr>
          <w:lang w:val="en-US"/>
        </w:rPr>
        <w:t>Bloomsbury Publishing</w:t>
      </w:r>
      <w:r>
        <w:rPr>
          <w:lang w:val="en-US"/>
        </w:rPr>
        <w:t>, 2022) at 138.</w:t>
      </w:r>
    </w:p>
  </w:footnote>
  <w:footnote w:id="2">
    <w:p w14:paraId="51BB4B2C" w14:textId="2626C6C0" w:rsidR="009A29CD" w:rsidRPr="009A29CD" w:rsidRDefault="009A29CD" w:rsidP="00514DD0">
      <w:pPr>
        <w:pStyle w:val="FootnoteText"/>
        <w:ind w:left="709" w:hanging="709"/>
        <w:rPr>
          <w:lang w:val="en-US"/>
        </w:rPr>
      </w:pPr>
      <w:r>
        <w:rPr>
          <w:rStyle w:val="FootnoteReference"/>
        </w:rPr>
        <w:footnoteRef/>
      </w:r>
      <w:r>
        <w:t xml:space="preserve"> </w:t>
      </w:r>
      <w:r w:rsidR="00514DD0">
        <w:tab/>
      </w:r>
      <w:r w:rsidRPr="00C8454C">
        <w:t>Lord Bingham “The Rule of Law” (2007) 66 CLJ 67</w:t>
      </w:r>
      <w:r>
        <w:t>.</w:t>
      </w:r>
    </w:p>
  </w:footnote>
  <w:footnote w:id="3">
    <w:p w14:paraId="0EF55D04" w14:textId="38A3881F" w:rsidR="00E82E04" w:rsidRPr="009368FC" w:rsidRDefault="00E82E04" w:rsidP="00514DD0">
      <w:pPr>
        <w:pStyle w:val="FootnoteText"/>
        <w:ind w:left="709" w:hanging="709"/>
      </w:pPr>
      <w:r>
        <w:rPr>
          <w:rStyle w:val="FootnoteReference"/>
        </w:rPr>
        <w:footnoteRef/>
      </w:r>
      <w:r>
        <w:t xml:space="preserve"> </w:t>
      </w:r>
      <w:r w:rsidR="00514DD0">
        <w:tab/>
      </w:r>
      <w:r w:rsidRPr="009368FC">
        <w:t xml:space="preserve">AV Dicey </w:t>
      </w:r>
      <w:r w:rsidRPr="009368FC">
        <w:rPr>
          <w:i/>
          <w:iCs/>
        </w:rPr>
        <w:t xml:space="preserve">Introduction to the Study of the Law of the Constitution </w:t>
      </w:r>
      <w:r w:rsidRPr="009368FC">
        <w:t>(10th ed, Macmillan &amp; Co, London,</w:t>
      </w:r>
    </w:p>
    <w:p w14:paraId="75FE18A0" w14:textId="274FEFD1" w:rsidR="00E82E04" w:rsidRPr="009368FC" w:rsidRDefault="00E82E04" w:rsidP="00514DD0">
      <w:pPr>
        <w:pStyle w:val="FootnoteText"/>
        <w:ind w:left="709"/>
        <w:rPr>
          <w:lang w:val="en-US"/>
        </w:rPr>
      </w:pPr>
      <w:r w:rsidRPr="009368FC">
        <w:t>1959)</w:t>
      </w:r>
      <w:r>
        <w:t xml:space="preserve">, referenced in </w:t>
      </w:r>
      <w:r w:rsidRPr="00E82E04">
        <w:rPr>
          <w:i/>
          <w:iCs/>
        </w:rPr>
        <w:t>A to Z of NZ Law - Constitutional Law</w:t>
      </w:r>
      <w:r>
        <w:t xml:space="preserve"> at </w:t>
      </w:r>
      <w:r w:rsidRPr="00E82E04">
        <w:t>17.8.5</w:t>
      </w:r>
      <w:r>
        <w:t>.</w:t>
      </w:r>
    </w:p>
  </w:footnote>
  <w:footnote w:id="4">
    <w:p w14:paraId="619AEA81" w14:textId="74A9D4F7" w:rsidR="00C8454C" w:rsidRPr="00C8454C" w:rsidRDefault="00C8454C" w:rsidP="00514DD0">
      <w:pPr>
        <w:pStyle w:val="FootnoteText"/>
        <w:ind w:left="709" w:hanging="709"/>
        <w:rPr>
          <w:lang w:val="en-US"/>
        </w:rPr>
      </w:pPr>
      <w:r>
        <w:rPr>
          <w:rStyle w:val="FootnoteReference"/>
        </w:rPr>
        <w:footnoteRef/>
      </w:r>
      <w:r>
        <w:t xml:space="preserve"> </w:t>
      </w:r>
      <w:r w:rsidR="00514DD0">
        <w:tab/>
      </w:r>
      <w:r w:rsidRPr="00C8454C">
        <w:t>Lord Bingham “The Rule of Law” (2007) 66 CLJ 67.</w:t>
      </w:r>
    </w:p>
  </w:footnote>
  <w:footnote w:id="5">
    <w:p w14:paraId="2C210503" w14:textId="615EC0CA" w:rsidR="00A80DCB" w:rsidRPr="00A80DCB" w:rsidRDefault="00A80DCB" w:rsidP="00514DD0">
      <w:pPr>
        <w:pStyle w:val="FootnoteText"/>
        <w:ind w:left="709" w:hanging="709"/>
        <w:rPr>
          <w:lang w:val="en-US"/>
        </w:rPr>
      </w:pPr>
      <w:r>
        <w:rPr>
          <w:rStyle w:val="FootnoteReference"/>
        </w:rPr>
        <w:footnoteRef/>
      </w:r>
      <w:r>
        <w:t xml:space="preserve"> </w:t>
      </w:r>
      <w:r w:rsidR="00514DD0">
        <w:tab/>
      </w:r>
      <w:r w:rsidRPr="00C8454C">
        <w:t>Lord Bingham “The Rule of Law” (2007) 66 CLJ 67.</w:t>
      </w:r>
    </w:p>
  </w:footnote>
  <w:footnote w:id="6">
    <w:p w14:paraId="39AE3143" w14:textId="344B625F" w:rsidR="00D67D57" w:rsidRPr="00D67D57" w:rsidRDefault="00D67D57" w:rsidP="00514DD0">
      <w:pPr>
        <w:pStyle w:val="FootnoteText"/>
        <w:ind w:left="709" w:hanging="709"/>
        <w:rPr>
          <w:lang w:val="en-US"/>
        </w:rPr>
      </w:pPr>
      <w:r>
        <w:rPr>
          <w:rStyle w:val="FootnoteReference"/>
        </w:rPr>
        <w:footnoteRef/>
      </w:r>
      <w:r>
        <w:t xml:space="preserve"> </w:t>
      </w:r>
      <w:r w:rsidR="00514DD0">
        <w:tab/>
        <w:t xml:space="preserve">See </w:t>
      </w:r>
      <w:hyperlink r:id="rId1" w:history="1">
        <w:r w:rsidR="00514DD0" w:rsidRPr="00E4247D">
          <w:rPr>
            <w:rStyle w:val="Hyperlink"/>
          </w:rPr>
          <w:t>https://www.un.org/ruleoflaw/what-is-the-rule-of-law/</w:t>
        </w:r>
      </w:hyperlink>
      <w:r>
        <w:t xml:space="preserve">. </w:t>
      </w:r>
    </w:p>
  </w:footnote>
  <w:footnote w:id="7">
    <w:p w14:paraId="54180D89" w14:textId="460BD2BD" w:rsidR="00CC60D5" w:rsidRPr="00CC60D5" w:rsidRDefault="00CC60D5" w:rsidP="00514DD0">
      <w:pPr>
        <w:pStyle w:val="FootnoteText"/>
        <w:ind w:left="709" w:hanging="709"/>
        <w:rPr>
          <w:lang w:val="en-US"/>
        </w:rPr>
      </w:pPr>
      <w:r>
        <w:rPr>
          <w:rStyle w:val="FootnoteReference"/>
        </w:rPr>
        <w:footnoteRef/>
      </w:r>
      <w:r>
        <w:t xml:space="preserve"> </w:t>
      </w:r>
      <w:r w:rsidR="00514DD0">
        <w:tab/>
      </w:r>
      <w:r w:rsidRPr="00CC60D5">
        <w:rPr>
          <w:i/>
          <w:iCs/>
        </w:rPr>
        <w:t>R v Liddell</w:t>
      </w:r>
      <w:r w:rsidRPr="00CC60D5">
        <w:t>, HC Rotorua CRI-2005-070-5963</w:t>
      </w:r>
      <w:r>
        <w:t xml:space="preserve"> at [5]. </w:t>
      </w:r>
    </w:p>
  </w:footnote>
  <w:footnote w:id="8">
    <w:p w14:paraId="26FFEF4A" w14:textId="4EA07D64" w:rsidR="00D67D57" w:rsidRPr="00D67D57" w:rsidRDefault="00D67D57" w:rsidP="00514DD0">
      <w:pPr>
        <w:pStyle w:val="FootnoteText"/>
        <w:ind w:left="709" w:hanging="709"/>
        <w:rPr>
          <w:lang w:val="en-US"/>
        </w:rPr>
      </w:pPr>
      <w:r>
        <w:rPr>
          <w:rStyle w:val="FootnoteReference"/>
        </w:rPr>
        <w:footnoteRef/>
      </w:r>
      <w:r>
        <w:t xml:space="preserve"> </w:t>
      </w:r>
      <w:r w:rsidR="00514DD0">
        <w:tab/>
      </w:r>
      <w:r>
        <w:t xml:space="preserve">Legislation Design and Advisory Committee </w:t>
      </w:r>
      <w:r>
        <w:rPr>
          <w:i/>
          <w:iCs/>
        </w:rPr>
        <w:t xml:space="preserve">Legislation Guidelines </w:t>
      </w:r>
      <w:r>
        <w:t>(2021), at 4.1.</w:t>
      </w:r>
    </w:p>
  </w:footnote>
  <w:footnote w:id="9">
    <w:p w14:paraId="4D228D6C" w14:textId="77777777" w:rsidR="00AE50CC" w:rsidRPr="004A46DA" w:rsidRDefault="00AE50CC" w:rsidP="00AE50CC">
      <w:pPr>
        <w:pStyle w:val="FootnoteText"/>
        <w:ind w:left="709" w:hanging="709"/>
        <w:rPr>
          <w:lang w:val="en-US"/>
        </w:rPr>
      </w:pPr>
      <w:r>
        <w:rPr>
          <w:rStyle w:val="FootnoteReference"/>
        </w:rPr>
        <w:footnoteRef/>
      </w:r>
      <w:r>
        <w:t xml:space="preserve"> </w:t>
      </w:r>
      <w:r>
        <w:rPr>
          <w:lang w:val="en-US"/>
        </w:rPr>
        <w:tab/>
        <w:t xml:space="preserve">Section 4(a) of the Act, and rule 2 of the Rules of Conduct and Client Care. </w:t>
      </w:r>
    </w:p>
  </w:footnote>
  <w:footnote w:id="10">
    <w:p w14:paraId="6C728BB4" w14:textId="613DC715" w:rsidR="004A46DA" w:rsidRPr="004A46DA" w:rsidRDefault="004A46DA">
      <w:pPr>
        <w:pStyle w:val="FootnoteText"/>
        <w:rPr>
          <w:lang w:val="en-US"/>
        </w:rPr>
      </w:pPr>
      <w:r>
        <w:rPr>
          <w:rStyle w:val="FootnoteReference"/>
        </w:rPr>
        <w:footnoteRef/>
      </w:r>
      <w:r>
        <w:t xml:space="preserve"> </w:t>
      </w:r>
      <w:r>
        <w:rPr>
          <w:lang w:val="en-US"/>
        </w:rPr>
        <w:tab/>
        <w:t xml:space="preserve">Section 65(e).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6205A"/>
    <w:multiLevelType w:val="hybridMultilevel"/>
    <w:tmpl w:val="CB0AD8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1F3037FE"/>
    <w:multiLevelType w:val="hybridMultilevel"/>
    <w:tmpl w:val="957076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2EB6334B"/>
    <w:multiLevelType w:val="hybridMultilevel"/>
    <w:tmpl w:val="E69A61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56112467"/>
    <w:multiLevelType w:val="hybridMultilevel"/>
    <w:tmpl w:val="5DDC2E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5A7573B6"/>
    <w:multiLevelType w:val="hybridMultilevel"/>
    <w:tmpl w:val="F6D295C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7A4A3D81"/>
    <w:multiLevelType w:val="hybridMultilevel"/>
    <w:tmpl w:val="52609D9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478374330">
    <w:abstractNumId w:val="0"/>
  </w:num>
  <w:num w:numId="2" w16cid:durableId="1383284045">
    <w:abstractNumId w:val="4"/>
  </w:num>
  <w:num w:numId="3" w16cid:durableId="1588418162">
    <w:abstractNumId w:val="5"/>
  </w:num>
  <w:num w:numId="4" w16cid:durableId="658851276">
    <w:abstractNumId w:val="3"/>
  </w:num>
  <w:num w:numId="5" w16cid:durableId="214894402">
    <w:abstractNumId w:val="1"/>
  </w:num>
  <w:num w:numId="6" w16cid:durableId="7531627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3183"/>
    <w:rsid w:val="00013D01"/>
    <w:rsid w:val="000154C1"/>
    <w:rsid w:val="00041608"/>
    <w:rsid w:val="00050163"/>
    <w:rsid w:val="0005066C"/>
    <w:rsid w:val="000871ED"/>
    <w:rsid w:val="0009329A"/>
    <w:rsid w:val="00095A0B"/>
    <w:rsid w:val="000F1A49"/>
    <w:rsid w:val="000F1A7B"/>
    <w:rsid w:val="001037CD"/>
    <w:rsid w:val="001122CD"/>
    <w:rsid w:val="0011589D"/>
    <w:rsid w:val="001175CA"/>
    <w:rsid w:val="001437B7"/>
    <w:rsid w:val="00144059"/>
    <w:rsid w:val="0015609F"/>
    <w:rsid w:val="001739E2"/>
    <w:rsid w:val="001974FD"/>
    <w:rsid w:val="001A2D67"/>
    <w:rsid w:val="001F3799"/>
    <w:rsid w:val="002051CF"/>
    <w:rsid w:val="0021292D"/>
    <w:rsid w:val="00212ECC"/>
    <w:rsid w:val="00221DD2"/>
    <w:rsid w:val="00243C46"/>
    <w:rsid w:val="00260CB4"/>
    <w:rsid w:val="00273016"/>
    <w:rsid w:val="00275F03"/>
    <w:rsid w:val="002878F0"/>
    <w:rsid w:val="00291DB8"/>
    <w:rsid w:val="0029677D"/>
    <w:rsid w:val="002A497E"/>
    <w:rsid w:val="002B6538"/>
    <w:rsid w:val="002C75C5"/>
    <w:rsid w:val="002D0250"/>
    <w:rsid w:val="002E1F83"/>
    <w:rsid w:val="002F23F7"/>
    <w:rsid w:val="00317E98"/>
    <w:rsid w:val="003341B9"/>
    <w:rsid w:val="00334CC4"/>
    <w:rsid w:val="0035396B"/>
    <w:rsid w:val="003572BD"/>
    <w:rsid w:val="003579C3"/>
    <w:rsid w:val="00365CD4"/>
    <w:rsid w:val="003853A9"/>
    <w:rsid w:val="003C3AE1"/>
    <w:rsid w:val="003E0D59"/>
    <w:rsid w:val="003E7A4B"/>
    <w:rsid w:val="00431EE3"/>
    <w:rsid w:val="00456309"/>
    <w:rsid w:val="0046509B"/>
    <w:rsid w:val="00473A3D"/>
    <w:rsid w:val="00473D43"/>
    <w:rsid w:val="0048545A"/>
    <w:rsid w:val="004950C0"/>
    <w:rsid w:val="004A2F9C"/>
    <w:rsid w:val="004A46DA"/>
    <w:rsid w:val="004B09B8"/>
    <w:rsid w:val="004F0ADF"/>
    <w:rsid w:val="004F435D"/>
    <w:rsid w:val="00514DD0"/>
    <w:rsid w:val="005323BC"/>
    <w:rsid w:val="0054264E"/>
    <w:rsid w:val="005B3318"/>
    <w:rsid w:val="005D512A"/>
    <w:rsid w:val="005E2389"/>
    <w:rsid w:val="006051AD"/>
    <w:rsid w:val="00611E92"/>
    <w:rsid w:val="00626B0A"/>
    <w:rsid w:val="006701A6"/>
    <w:rsid w:val="00670B58"/>
    <w:rsid w:val="006905B2"/>
    <w:rsid w:val="00693583"/>
    <w:rsid w:val="006967D9"/>
    <w:rsid w:val="006A7E31"/>
    <w:rsid w:val="006C107A"/>
    <w:rsid w:val="006E1EA4"/>
    <w:rsid w:val="00702A93"/>
    <w:rsid w:val="0071026E"/>
    <w:rsid w:val="00722288"/>
    <w:rsid w:val="0073303A"/>
    <w:rsid w:val="00743F1B"/>
    <w:rsid w:val="00744CFB"/>
    <w:rsid w:val="00766F96"/>
    <w:rsid w:val="007A5E9B"/>
    <w:rsid w:val="007C3183"/>
    <w:rsid w:val="007E620A"/>
    <w:rsid w:val="0080788D"/>
    <w:rsid w:val="00814916"/>
    <w:rsid w:val="00823859"/>
    <w:rsid w:val="00825331"/>
    <w:rsid w:val="008368FA"/>
    <w:rsid w:val="008726C4"/>
    <w:rsid w:val="00880E19"/>
    <w:rsid w:val="00890178"/>
    <w:rsid w:val="00895CC4"/>
    <w:rsid w:val="008A24C9"/>
    <w:rsid w:val="008A58A3"/>
    <w:rsid w:val="008B3649"/>
    <w:rsid w:val="008D11A0"/>
    <w:rsid w:val="008D2E12"/>
    <w:rsid w:val="008E1522"/>
    <w:rsid w:val="008E1BA8"/>
    <w:rsid w:val="008E4A6C"/>
    <w:rsid w:val="00904675"/>
    <w:rsid w:val="00920FAC"/>
    <w:rsid w:val="009368FC"/>
    <w:rsid w:val="00937BDF"/>
    <w:rsid w:val="00963A82"/>
    <w:rsid w:val="00965717"/>
    <w:rsid w:val="00985F69"/>
    <w:rsid w:val="00995B55"/>
    <w:rsid w:val="009A29CD"/>
    <w:rsid w:val="009E6B65"/>
    <w:rsid w:val="009F1022"/>
    <w:rsid w:val="009F56AE"/>
    <w:rsid w:val="00A0018E"/>
    <w:rsid w:val="00A05B1D"/>
    <w:rsid w:val="00A17E14"/>
    <w:rsid w:val="00A26C7F"/>
    <w:rsid w:val="00A276ED"/>
    <w:rsid w:val="00A33E9C"/>
    <w:rsid w:val="00A362C8"/>
    <w:rsid w:val="00A5238A"/>
    <w:rsid w:val="00A54A45"/>
    <w:rsid w:val="00A70EA0"/>
    <w:rsid w:val="00A80BB3"/>
    <w:rsid w:val="00A80DCB"/>
    <w:rsid w:val="00A80F75"/>
    <w:rsid w:val="00A8604D"/>
    <w:rsid w:val="00A87D74"/>
    <w:rsid w:val="00A933C3"/>
    <w:rsid w:val="00AA44B8"/>
    <w:rsid w:val="00AA47AD"/>
    <w:rsid w:val="00AB15E7"/>
    <w:rsid w:val="00AB7295"/>
    <w:rsid w:val="00AC169B"/>
    <w:rsid w:val="00AD48FB"/>
    <w:rsid w:val="00AE50CC"/>
    <w:rsid w:val="00AE7A1B"/>
    <w:rsid w:val="00AF43EA"/>
    <w:rsid w:val="00B23381"/>
    <w:rsid w:val="00B31FAB"/>
    <w:rsid w:val="00B3520B"/>
    <w:rsid w:val="00B51531"/>
    <w:rsid w:val="00B738F3"/>
    <w:rsid w:val="00B86474"/>
    <w:rsid w:val="00BE5538"/>
    <w:rsid w:val="00BE616E"/>
    <w:rsid w:val="00BF0677"/>
    <w:rsid w:val="00BF0FF1"/>
    <w:rsid w:val="00BF13EC"/>
    <w:rsid w:val="00C2013B"/>
    <w:rsid w:val="00C71C5A"/>
    <w:rsid w:val="00C74D0D"/>
    <w:rsid w:val="00C8454C"/>
    <w:rsid w:val="00C94E61"/>
    <w:rsid w:val="00CA59DF"/>
    <w:rsid w:val="00CB1CEC"/>
    <w:rsid w:val="00CB3634"/>
    <w:rsid w:val="00CC60D5"/>
    <w:rsid w:val="00CD6B5C"/>
    <w:rsid w:val="00CE445D"/>
    <w:rsid w:val="00CF0A71"/>
    <w:rsid w:val="00D1068A"/>
    <w:rsid w:val="00D20A9E"/>
    <w:rsid w:val="00D25EA9"/>
    <w:rsid w:val="00D35719"/>
    <w:rsid w:val="00D45521"/>
    <w:rsid w:val="00D4587E"/>
    <w:rsid w:val="00D517AB"/>
    <w:rsid w:val="00D537AD"/>
    <w:rsid w:val="00D550EA"/>
    <w:rsid w:val="00D609B1"/>
    <w:rsid w:val="00D67D57"/>
    <w:rsid w:val="00D753B5"/>
    <w:rsid w:val="00D81C99"/>
    <w:rsid w:val="00D829A7"/>
    <w:rsid w:val="00D9175B"/>
    <w:rsid w:val="00D939ED"/>
    <w:rsid w:val="00DB6C7F"/>
    <w:rsid w:val="00DC1CE7"/>
    <w:rsid w:val="00DD0CCB"/>
    <w:rsid w:val="00DD4A89"/>
    <w:rsid w:val="00DD4E08"/>
    <w:rsid w:val="00DE1E20"/>
    <w:rsid w:val="00DE2165"/>
    <w:rsid w:val="00E20876"/>
    <w:rsid w:val="00E459F7"/>
    <w:rsid w:val="00E6502B"/>
    <w:rsid w:val="00E714AF"/>
    <w:rsid w:val="00E71D18"/>
    <w:rsid w:val="00E82E04"/>
    <w:rsid w:val="00E97314"/>
    <w:rsid w:val="00ED1178"/>
    <w:rsid w:val="00ED373D"/>
    <w:rsid w:val="00EE3696"/>
    <w:rsid w:val="00EE56B4"/>
    <w:rsid w:val="00F02772"/>
    <w:rsid w:val="00F527F5"/>
    <w:rsid w:val="00F55F70"/>
    <w:rsid w:val="00F71B9E"/>
    <w:rsid w:val="00F7434B"/>
    <w:rsid w:val="00F831C2"/>
    <w:rsid w:val="00FA29C7"/>
    <w:rsid w:val="00FB269F"/>
    <w:rsid w:val="00FB7B56"/>
    <w:rsid w:val="00FC4C50"/>
    <w:rsid w:val="00FD46B9"/>
    <w:rsid w:val="00FD670B"/>
    <w:rsid w:val="00FE54B1"/>
    <w:rsid w:val="00FF62C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8476C"/>
  <w15:chartTrackingRefBased/>
  <w15:docId w15:val="{8328197B-CF35-44D3-8FF6-6E182EFA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07A"/>
    <w:pPr>
      <w:ind w:left="720"/>
      <w:contextualSpacing/>
    </w:pPr>
  </w:style>
  <w:style w:type="paragraph" w:styleId="FootnoteText">
    <w:name w:val="footnote text"/>
    <w:basedOn w:val="Normal"/>
    <w:link w:val="FootnoteTextChar"/>
    <w:uiPriority w:val="99"/>
    <w:semiHidden/>
    <w:unhideWhenUsed/>
    <w:rsid w:val="00D67D5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7D57"/>
    <w:rPr>
      <w:sz w:val="20"/>
      <w:szCs w:val="20"/>
    </w:rPr>
  </w:style>
  <w:style w:type="character" w:styleId="FootnoteReference">
    <w:name w:val="footnote reference"/>
    <w:basedOn w:val="DefaultParagraphFont"/>
    <w:uiPriority w:val="99"/>
    <w:semiHidden/>
    <w:unhideWhenUsed/>
    <w:rsid w:val="00D67D57"/>
    <w:rPr>
      <w:vertAlign w:val="superscript"/>
    </w:rPr>
  </w:style>
  <w:style w:type="character" w:styleId="Hyperlink">
    <w:name w:val="Hyperlink"/>
    <w:basedOn w:val="DefaultParagraphFont"/>
    <w:uiPriority w:val="99"/>
    <w:unhideWhenUsed/>
    <w:rsid w:val="00D67D57"/>
    <w:rPr>
      <w:color w:val="0563C1" w:themeColor="hyperlink"/>
      <w:u w:val="single"/>
    </w:rPr>
  </w:style>
  <w:style w:type="character" w:styleId="UnresolvedMention">
    <w:name w:val="Unresolved Mention"/>
    <w:basedOn w:val="DefaultParagraphFont"/>
    <w:uiPriority w:val="99"/>
    <w:semiHidden/>
    <w:unhideWhenUsed/>
    <w:rsid w:val="00D67D57"/>
    <w:rPr>
      <w:color w:val="605E5C"/>
      <w:shd w:val="clear" w:color="auto" w:fill="E1DFDD"/>
    </w:rPr>
  </w:style>
  <w:style w:type="character" w:styleId="FollowedHyperlink">
    <w:name w:val="FollowedHyperlink"/>
    <w:basedOn w:val="DefaultParagraphFont"/>
    <w:uiPriority w:val="99"/>
    <w:semiHidden/>
    <w:unhideWhenUsed/>
    <w:rsid w:val="00702A93"/>
    <w:rPr>
      <w:color w:val="954F72" w:themeColor="followedHyperlink"/>
      <w:u w:val="single"/>
    </w:rPr>
  </w:style>
  <w:style w:type="paragraph" w:styleId="Revision">
    <w:name w:val="Revision"/>
    <w:hidden/>
    <w:uiPriority w:val="99"/>
    <w:semiHidden/>
    <w:rsid w:val="008901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59160">
      <w:bodyDiv w:val="1"/>
      <w:marLeft w:val="0"/>
      <w:marRight w:val="0"/>
      <w:marTop w:val="0"/>
      <w:marBottom w:val="0"/>
      <w:divBdr>
        <w:top w:val="none" w:sz="0" w:space="0" w:color="auto"/>
        <w:left w:val="none" w:sz="0" w:space="0" w:color="auto"/>
        <w:bottom w:val="none" w:sz="0" w:space="0" w:color="auto"/>
        <w:right w:val="none" w:sz="0" w:space="0" w:color="auto"/>
      </w:divBdr>
    </w:div>
    <w:div w:id="589851178">
      <w:bodyDiv w:val="1"/>
      <w:marLeft w:val="0"/>
      <w:marRight w:val="0"/>
      <w:marTop w:val="0"/>
      <w:marBottom w:val="0"/>
      <w:divBdr>
        <w:top w:val="none" w:sz="0" w:space="0" w:color="auto"/>
        <w:left w:val="none" w:sz="0" w:space="0" w:color="auto"/>
        <w:bottom w:val="none" w:sz="0" w:space="0" w:color="auto"/>
        <w:right w:val="none" w:sz="0" w:space="0" w:color="auto"/>
      </w:divBdr>
    </w:div>
    <w:div w:id="770859047">
      <w:bodyDiv w:val="1"/>
      <w:marLeft w:val="0"/>
      <w:marRight w:val="0"/>
      <w:marTop w:val="0"/>
      <w:marBottom w:val="0"/>
      <w:divBdr>
        <w:top w:val="none" w:sz="0" w:space="0" w:color="auto"/>
        <w:left w:val="none" w:sz="0" w:space="0" w:color="auto"/>
        <w:bottom w:val="none" w:sz="0" w:space="0" w:color="auto"/>
        <w:right w:val="none" w:sz="0" w:space="0" w:color="auto"/>
      </w:divBdr>
    </w:div>
    <w:div w:id="772869211">
      <w:bodyDiv w:val="1"/>
      <w:marLeft w:val="0"/>
      <w:marRight w:val="0"/>
      <w:marTop w:val="0"/>
      <w:marBottom w:val="0"/>
      <w:divBdr>
        <w:top w:val="none" w:sz="0" w:space="0" w:color="auto"/>
        <w:left w:val="none" w:sz="0" w:space="0" w:color="auto"/>
        <w:bottom w:val="none" w:sz="0" w:space="0" w:color="auto"/>
        <w:right w:val="none" w:sz="0" w:space="0" w:color="auto"/>
      </w:divBdr>
    </w:div>
    <w:div w:id="1011839495">
      <w:bodyDiv w:val="1"/>
      <w:marLeft w:val="0"/>
      <w:marRight w:val="0"/>
      <w:marTop w:val="0"/>
      <w:marBottom w:val="0"/>
      <w:divBdr>
        <w:top w:val="none" w:sz="0" w:space="0" w:color="auto"/>
        <w:left w:val="none" w:sz="0" w:space="0" w:color="auto"/>
        <w:bottom w:val="none" w:sz="0" w:space="0" w:color="auto"/>
        <w:right w:val="none" w:sz="0" w:space="0" w:color="auto"/>
      </w:divBdr>
    </w:div>
    <w:div w:id="1056977348">
      <w:bodyDiv w:val="1"/>
      <w:marLeft w:val="0"/>
      <w:marRight w:val="0"/>
      <w:marTop w:val="0"/>
      <w:marBottom w:val="0"/>
      <w:divBdr>
        <w:top w:val="none" w:sz="0" w:space="0" w:color="auto"/>
        <w:left w:val="none" w:sz="0" w:space="0" w:color="auto"/>
        <w:bottom w:val="none" w:sz="0" w:space="0" w:color="auto"/>
        <w:right w:val="none" w:sz="0" w:space="0" w:color="auto"/>
      </w:divBdr>
    </w:div>
    <w:div w:id="1162550234">
      <w:bodyDiv w:val="1"/>
      <w:marLeft w:val="0"/>
      <w:marRight w:val="0"/>
      <w:marTop w:val="0"/>
      <w:marBottom w:val="0"/>
      <w:divBdr>
        <w:top w:val="none" w:sz="0" w:space="0" w:color="auto"/>
        <w:left w:val="none" w:sz="0" w:space="0" w:color="auto"/>
        <w:bottom w:val="none" w:sz="0" w:space="0" w:color="auto"/>
        <w:right w:val="none" w:sz="0" w:space="0" w:color="auto"/>
      </w:divBdr>
    </w:div>
    <w:div w:id="1596672135">
      <w:bodyDiv w:val="1"/>
      <w:marLeft w:val="0"/>
      <w:marRight w:val="0"/>
      <w:marTop w:val="0"/>
      <w:marBottom w:val="0"/>
      <w:divBdr>
        <w:top w:val="none" w:sz="0" w:space="0" w:color="auto"/>
        <w:left w:val="none" w:sz="0" w:space="0" w:color="auto"/>
        <w:bottom w:val="none" w:sz="0" w:space="0" w:color="auto"/>
        <w:right w:val="none" w:sz="0" w:space="0" w:color="auto"/>
      </w:divBdr>
    </w:div>
    <w:div w:id="1787041193">
      <w:bodyDiv w:val="1"/>
      <w:marLeft w:val="0"/>
      <w:marRight w:val="0"/>
      <w:marTop w:val="0"/>
      <w:marBottom w:val="0"/>
      <w:divBdr>
        <w:top w:val="none" w:sz="0" w:space="0" w:color="auto"/>
        <w:left w:val="none" w:sz="0" w:space="0" w:color="auto"/>
        <w:bottom w:val="none" w:sz="0" w:space="0" w:color="auto"/>
        <w:right w:val="none" w:sz="0" w:space="0" w:color="auto"/>
      </w:divBdr>
    </w:div>
    <w:div w:id="1909463377">
      <w:bodyDiv w:val="1"/>
      <w:marLeft w:val="0"/>
      <w:marRight w:val="0"/>
      <w:marTop w:val="0"/>
      <w:marBottom w:val="0"/>
      <w:divBdr>
        <w:top w:val="none" w:sz="0" w:space="0" w:color="auto"/>
        <w:left w:val="none" w:sz="0" w:space="0" w:color="auto"/>
        <w:bottom w:val="none" w:sz="0" w:space="0" w:color="auto"/>
        <w:right w:val="none" w:sz="0" w:space="0" w:color="auto"/>
      </w:divBdr>
    </w:div>
    <w:div w:id="1953975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wsociety.org.nz/branches-sections-and-groups/law-reform-committees/public-law-committe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lawsociety.org.nz/about-us/our-strategy/" TargetMode="External"/><Relationship Id="rId12" Type="http://schemas.openxmlformats.org/officeDocument/2006/relationships/hyperlink" Target="https://binghamcentre.biicl.org/" TargetMode="Externa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venice.coe.int/images/SITE%20IMAGES/Publications/Rule_of_Law_Check_List.pdf" TargetMode="Externa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hyperlink" Target="https://www.ruleoflaw.org.au/" TargetMode="External"/><Relationship Id="rId4" Type="http://schemas.openxmlformats.org/officeDocument/2006/relationships/webSettings" Target="webSettings.xml"/><Relationship Id="rId9" Type="http://schemas.openxmlformats.org/officeDocument/2006/relationships/hyperlink" Target="https://www.ldac.org.nz/guidelines/legislation-guidelines-2021-edition/constitutional-issues-and-recognising-rights-2/chapter-4/"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un.org/ruleoflaw/what-is-the-rule-of-l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761DF27F79A14A951F35AC7E9A0761" ma:contentTypeVersion="21" ma:contentTypeDescription="Create a new document." ma:contentTypeScope="" ma:versionID="fd42d5dc8a2bcc81eb8f690256b409ba">
  <xsd:schema xmlns:xsd="http://www.w3.org/2001/XMLSchema" xmlns:xs="http://www.w3.org/2001/XMLSchema" xmlns:p="http://schemas.microsoft.com/office/2006/metadata/properties" xmlns:ns2="2bd54719-e155-44f6-a622-6c6202959a0e" xmlns:ns3="f8ac4c5e-2f6a-40e6-aa3b-55bbff2b61b6" targetNamespace="http://schemas.microsoft.com/office/2006/metadata/properties" ma:root="true" ma:fieldsID="98755bf448728d5216809354fa4bb8f1" ns2:_="" ns3:_="">
    <xsd:import namespace="2bd54719-e155-44f6-a622-6c6202959a0e"/>
    <xsd:import namespace="f8ac4c5e-2f6a-40e6-aa3b-55bbff2b61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d54719-e155-44f6-a622-6c6202959a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ee523bf2-217d-4e9e-a173-965037402a72}" ma:internalName="TaxCatchAll" ma:showField="CatchAllData" ma:web="2bd54719-e155-44f6-a622-6c6202959a0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ac4c5e-2f6a-40e6-aa3b-55bbff2b61b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1f32828-d3ad-4d3a-8516-4f7aa86ca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bd54719-e155-44f6-a622-6c6202959a0e" xsi:nil="true"/>
    <lcf76f155ced4ddcb4097134ff3c332f xmlns="f8ac4c5e-2f6a-40e6-aa3b-55bbff2b61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F1F01A-6DA6-4F26-AA49-B92729677017}"/>
</file>

<file path=customXml/itemProps2.xml><?xml version="1.0" encoding="utf-8"?>
<ds:datastoreItem xmlns:ds="http://schemas.openxmlformats.org/officeDocument/2006/customXml" ds:itemID="{D7347DCF-A50E-4646-9C0E-375F8B7CB666}"/>
</file>

<file path=customXml/itemProps3.xml><?xml version="1.0" encoding="utf-8"?>
<ds:datastoreItem xmlns:ds="http://schemas.openxmlformats.org/officeDocument/2006/customXml" ds:itemID="{95D54E85-B9C3-4D87-98A9-2847956911D5}"/>
</file>

<file path=docProps/app.xml><?xml version="1.0" encoding="utf-8"?>
<Properties xmlns="http://schemas.openxmlformats.org/officeDocument/2006/extended-properties" xmlns:vt="http://schemas.openxmlformats.org/officeDocument/2006/docPropsVTypes">
  <Template>Normal</Template>
  <TotalTime>0</TotalTime>
  <Pages>4</Pages>
  <Words>1261</Words>
  <Characters>7189</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Nilu Ariyaratne</dc:creator>
  <cp:keywords/>
  <dc:description/>
  <cp:lastModifiedBy>Nilu Ariyaratne</cp:lastModifiedBy>
  <cp:revision>2</cp:revision>
  <dcterms:created xsi:type="dcterms:W3CDTF">2023-09-21T04:34:00Z</dcterms:created>
  <dcterms:modified xsi:type="dcterms:W3CDTF">2023-09-21T04:34:00Z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0x010100BF761DF27F79A14A951F35AC7E9A0761</vt:lpwstr>
  </property>
  <property fmtid="{D5CDD505-2E9C-101B-9397-08002B2CF9AE}" pid="3" name="MediaServiceImageTags">
    <vt:lpwstr/>
  </property>
</Properties>
</file>