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0146" w14:textId="77777777" w:rsidR="00AB254B" w:rsidRPr="001432B8" w:rsidRDefault="00AB254B" w:rsidP="00AB254B">
      <w:pPr>
        <w:jc w:val="center"/>
        <w:rPr>
          <w:b/>
          <w:bCs/>
          <w:sz w:val="20"/>
          <w:szCs w:val="20"/>
        </w:rPr>
      </w:pPr>
      <w:r w:rsidRPr="001432B8">
        <w:rPr>
          <w:b/>
          <w:bCs/>
          <w:sz w:val="20"/>
          <w:szCs w:val="20"/>
        </w:rPr>
        <w:t>Appointment as a Lay Member of a Practice Approval Committee</w:t>
      </w:r>
    </w:p>
    <w:p w14:paraId="1AAFBFCF" w14:textId="77777777" w:rsidR="00AB254B" w:rsidRPr="001432B8" w:rsidRDefault="00AB254B" w:rsidP="00AB254B">
      <w:pPr>
        <w:rPr>
          <w:sz w:val="20"/>
          <w:szCs w:val="20"/>
        </w:rPr>
      </w:pPr>
    </w:p>
    <w:p w14:paraId="635E38D2" w14:textId="77777777" w:rsidR="00AB254B" w:rsidRPr="001432B8" w:rsidRDefault="00AB254B" w:rsidP="00AB254B">
      <w:pPr>
        <w:rPr>
          <w:sz w:val="20"/>
          <w:szCs w:val="20"/>
        </w:rPr>
      </w:pPr>
      <w:r w:rsidRPr="001432B8">
        <w:rPr>
          <w:sz w:val="20"/>
          <w:szCs w:val="20"/>
        </w:rPr>
        <w:t>The New Zealand Law Society Practice Approval Committees were established by the Law Society Council and Board under the Lawyers and Conveyancers Act (Lawyers) Constitution 2008 to consider and determine “non-standard” applications relating to the practice of law.</w:t>
      </w:r>
    </w:p>
    <w:p w14:paraId="30B6BB37" w14:textId="77777777" w:rsidR="00AB254B" w:rsidRPr="001432B8" w:rsidRDefault="00AB254B" w:rsidP="00AB254B">
      <w:pPr>
        <w:rPr>
          <w:sz w:val="20"/>
          <w:szCs w:val="20"/>
        </w:rPr>
      </w:pPr>
    </w:p>
    <w:p w14:paraId="6D38E82C" w14:textId="77777777" w:rsidR="00AB254B" w:rsidRPr="001432B8" w:rsidRDefault="00AB254B" w:rsidP="00AB254B">
      <w:pPr>
        <w:rPr>
          <w:sz w:val="20"/>
          <w:szCs w:val="20"/>
        </w:rPr>
      </w:pPr>
      <w:r w:rsidRPr="001432B8">
        <w:rPr>
          <w:sz w:val="20"/>
          <w:szCs w:val="20"/>
        </w:rPr>
        <w:t>The types of applications considered and determined by the Committees are set out in the attached Terms of Reference.</w:t>
      </w:r>
    </w:p>
    <w:p w14:paraId="3B2FCCDB" w14:textId="77777777" w:rsidR="00AB254B" w:rsidRPr="001432B8" w:rsidRDefault="00AB254B" w:rsidP="00AB254B">
      <w:pPr>
        <w:rPr>
          <w:sz w:val="20"/>
          <w:szCs w:val="20"/>
        </w:rPr>
      </w:pPr>
    </w:p>
    <w:p w14:paraId="33D2C48D" w14:textId="77777777" w:rsidR="00AB254B" w:rsidRPr="001432B8" w:rsidRDefault="00AB254B" w:rsidP="00AB254B">
      <w:pPr>
        <w:rPr>
          <w:sz w:val="20"/>
          <w:szCs w:val="20"/>
        </w:rPr>
      </w:pPr>
      <w:r w:rsidRPr="001432B8">
        <w:rPr>
          <w:sz w:val="20"/>
          <w:szCs w:val="20"/>
        </w:rPr>
        <w:t>A Lay Member must:</w:t>
      </w:r>
    </w:p>
    <w:p w14:paraId="37CB2AA4" w14:textId="77777777" w:rsidR="00AB254B" w:rsidRPr="001432B8" w:rsidRDefault="00AB254B" w:rsidP="00AB254B">
      <w:pPr>
        <w:rPr>
          <w:sz w:val="20"/>
          <w:szCs w:val="20"/>
        </w:rPr>
      </w:pPr>
    </w:p>
    <w:p w14:paraId="082FB21E" w14:textId="77777777" w:rsidR="00AB254B" w:rsidRPr="001432B8" w:rsidRDefault="00AB254B" w:rsidP="00AB254B">
      <w:pPr>
        <w:pStyle w:val="ListParagraph"/>
        <w:numPr>
          <w:ilvl w:val="0"/>
          <w:numId w:val="2"/>
        </w:numPr>
        <w:rPr>
          <w:sz w:val="20"/>
          <w:szCs w:val="20"/>
        </w:rPr>
      </w:pPr>
      <w:r w:rsidRPr="001432B8">
        <w:rPr>
          <w:sz w:val="20"/>
          <w:szCs w:val="20"/>
        </w:rPr>
        <w:t>be a person of good character and be a fit and proper person to serve on a Practice Approval Committee; and</w:t>
      </w:r>
    </w:p>
    <w:p w14:paraId="28D0E8E4" w14:textId="77777777" w:rsidR="00AB254B" w:rsidRPr="001432B8" w:rsidRDefault="00AB254B" w:rsidP="00AB254B">
      <w:pPr>
        <w:pStyle w:val="ListParagraph"/>
        <w:numPr>
          <w:ilvl w:val="0"/>
          <w:numId w:val="2"/>
        </w:numPr>
        <w:rPr>
          <w:sz w:val="20"/>
          <w:szCs w:val="20"/>
        </w:rPr>
      </w:pPr>
      <w:r w:rsidRPr="001432B8">
        <w:rPr>
          <w:sz w:val="20"/>
          <w:szCs w:val="20"/>
        </w:rPr>
        <w:t>possess all the attributes of skill, experience and judgement necessary to be a contributing member of a Practice Approval Committee undertaking the full range of its functions.</w:t>
      </w:r>
    </w:p>
    <w:p w14:paraId="71832AF2" w14:textId="77777777" w:rsidR="00AB254B" w:rsidRPr="001432B8" w:rsidRDefault="00AB254B" w:rsidP="00AB254B">
      <w:pPr>
        <w:rPr>
          <w:sz w:val="20"/>
          <w:szCs w:val="20"/>
        </w:rPr>
      </w:pPr>
    </w:p>
    <w:p w14:paraId="501387FD" w14:textId="77777777" w:rsidR="00AB254B" w:rsidRPr="001432B8" w:rsidRDefault="00AB254B" w:rsidP="00AB254B">
      <w:pPr>
        <w:rPr>
          <w:sz w:val="20"/>
          <w:szCs w:val="20"/>
        </w:rPr>
      </w:pPr>
      <w:r w:rsidRPr="001432B8">
        <w:rPr>
          <w:sz w:val="20"/>
          <w:szCs w:val="20"/>
        </w:rPr>
        <w:t>In addition to being of good character and fit and proper, applicants must have the skill and judgement required to deal with contentious and sometimes complex issues. Protecting consumers of legal services and maintaining public confidence in the provision of legal services are key purposes of the Lawyers and Conveyancers Act 2006 which is one reason why it is important to have a perspective from outside of the legal profession.</w:t>
      </w:r>
    </w:p>
    <w:p w14:paraId="1854DB57" w14:textId="77777777" w:rsidR="00AB254B" w:rsidRPr="001432B8" w:rsidRDefault="00AB254B" w:rsidP="00AB254B">
      <w:pPr>
        <w:rPr>
          <w:sz w:val="20"/>
          <w:szCs w:val="20"/>
        </w:rPr>
      </w:pPr>
    </w:p>
    <w:p w14:paraId="0A6F57B3" w14:textId="77777777" w:rsidR="00AB254B" w:rsidRPr="001432B8" w:rsidRDefault="00AB254B" w:rsidP="00AB254B">
      <w:pPr>
        <w:rPr>
          <w:sz w:val="20"/>
          <w:szCs w:val="20"/>
        </w:rPr>
      </w:pPr>
      <w:r w:rsidRPr="001432B8">
        <w:rPr>
          <w:sz w:val="20"/>
          <w:szCs w:val="20"/>
        </w:rPr>
        <w:t>Lay Members are people of proven integrity and good standing in their communities and will have an established record of achievement and responsibility in their personal and professional lives.</w:t>
      </w:r>
    </w:p>
    <w:p w14:paraId="6C841F41" w14:textId="77777777" w:rsidR="00AB254B" w:rsidRPr="001432B8" w:rsidRDefault="00AB254B" w:rsidP="00AB254B">
      <w:pPr>
        <w:rPr>
          <w:sz w:val="20"/>
          <w:szCs w:val="20"/>
        </w:rPr>
      </w:pPr>
    </w:p>
    <w:p w14:paraId="23AFE76B" w14:textId="77777777" w:rsidR="00AB254B" w:rsidRPr="001432B8" w:rsidRDefault="00AB254B" w:rsidP="00AB254B">
      <w:pPr>
        <w:rPr>
          <w:sz w:val="20"/>
          <w:szCs w:val="20"/>
        </w:rPr>
      </w:pPr>
      <w:r w:rsidRPr="001432B8">
        <w:rPr>
          <w:sz w:val="20"/>
          <w:szCs w:val="20"/>
        </w:rPr>
        <w:t>Expressions of interest for appointment as a Lay Member should address these matters and be accompanied by a full CV and any other relevant supporting material applicants wish to submit. A Lay Member position description and expression of interest form accompany this document.</w:t>
      </w:r>
    </w:p>
    <w:p w14:paraId="2E4DAF71" w14:textId="77777777" w:rsidR="00AB254B" w:rsidRPr="001432B8" w:rsidRDefault="00AB254B" w:rsidP="00AB254B">
      <w:pPr>
        <w:rPr>
          <w:sz w:val="20"/>
          <w:szCs w:val="20"/>
        </w:rPr>
      </w:pPr>
    </w:p>
    <w:p w14:paraId="75504509" w14:textId="77777777" w:rsidR="00AB254B" w:rsidRPr="001432B8" w:rsidRDefault="00AB254B" w:rsidP="00AB254B">
      <w:pPr>
        <w:rPr>
          <w:sz w:val="20"/>
          <w:szCs w:val="20"/>
        </w:rPr>
      </w:pPr>
      <w:r w:rsidRPr="001432B8">
        <w:rPr>
          <w:sz w:val="20"/>
          <w:szCs w:val="20"/>
        </w:rPr>
        <w:t>Persons enrolled as barristers and solicitors, or as registered conveyancers, are not eligible for appointment as a Lay Member.</w:t>
      </w:r>
    </w:p>
    <w:p w14:paraId="7D1D24CF" w14:textId="77777777" w:rsidR="00AB254B" w:rsidRPr="001432B8" w:rsidRDefault="00AB254B">
      <w:pPr>
        <w:spacing w:after="160" w:line="259" w:lineRule="auto"/>
        <w:jc w:val="left"/>
        <w:rPr>
          <w:b/>
          <w:bCs/>
          <w:sz w:val="20"/>
          <w:szCs w:val="20"/>
        </w:rPr>
      </w:pPr>
      <w:r w:rsidRPr="001432B8">
        <w:rPr>
          <w:b/>
          <w:bCs/>
          <w:sz w:val="20"/>
          <w:szCs w:val="20"/>
        </w:rPr>
        <w:br w:type="page"/>
      </w:r>
    </w:p>
    <w:p w14:paraId="43F64D10" w14:textId="751DB1B4" w:rsidR="006919EE" w:rsidRPr="001432B8" w:rsidRDefault="006919EE" w:rsidP="006919EE">
      <w:pPr>
        <w:jc w:val="center"/>
        <w:rPr>
          <w:b/>
          <w:bCs/>
          <w:sz w:val="20"/>
          <w:szCs w:val="20"/>
        </w:rPr>
      </w:pPr>
      <w:r w:rsidRPr="001432B8">
        <w:rPr>
          <w:b/>
          <w:bCs/>
          <w:sz w:val="20"/>
          <w:szCs w:val="20"/>
        </w:rPr>
        <w:lastRenderedPageBreak/>
        <w:t>TERMS OF REFERENCE</w:t>
      </w:r>
    </w:p>
    <w:p w14:paraId="5AF74709" w14:textId="77777777" w:rsidR="006919EE" w:rsidRPr="001432B8" w:rsidRDefault="006919EE" w:rsidP="006919EE">
      <w:pPr>
        <w:jc w:val="center"/>
        <w:rPr>
          <w:sz w:val="20"/>
          <w:szCs w:val="20"/>
        </w:rPr>
      </w:pPr>
      <w:r w:rsidRPr="001432B8">
        <w:rPr>
          <w:b/>
          <w:bCs/>
          <w:sz w:val="20"/>
          <w:szCs w:val="20"/>
        </w:rPr>
        <w:t>Practice Approval Committee</w:t>
      </w:r>
    </w:p>
    <w:p w14:paraId="5B6D1782" w14:textId="77777777" w:rsidR="006919EE" w:rsidRPr="001432B8" w:rsidRDefault="006919EE" w:rsidP="006919EE">
      <w:pPr>
        <w:jc w:val="center"/>
        <w:rPr>
          <w:sz w:val="20"/>
          <w:szCs w:val="20"/>
        </w:rPr>
      </w:pPr>
    </w:p>
    <w:p w14:paraId="032BBE02" w14:textId="77777777" w:rsidR="006919EE" w:rsidRPr="001432B8" w:rsidRDefault="006919EE" w:rsidP="006919EE">
      <w:pPr>
        <w:jc w:val="center"/>
        <w:rPr>
          <w:sz w:val="20"/>
          <w:szCs w:val="20"/>
        </w:rPr>
      </w:pPr>
    </w:p>
    <w:p w14:paraId="4024F5CB" w14:textId="77777777" w:rsidR="006919EE" w:rsidRPr="001432B8" w:rsidRDefault="006919EE" w:rsidP="006919EE">
      <w:pPr>
        <w:rPr>
          <w:sz w:val="20"/>
          <w:szCs w:val="20"/>
        </w:rPr>
      </w:pPr>
      <w:r w:rsidRPr="001432B8">
        <w:rPr>
          <w:sz w:val="20"/>
          <w:szCs w:val="20"/>
        </w:rPr>
        <w:t>The matters which the Committee may consider and determine include:</w:t>
      </w:r>
      <w:r w:rsidRPr="001432B8">
        <w:rPr>
          <w:rStyle w:val="FootnoteReference"/>
          <w:sz w:val="20"/>
          <w:szCs w:val="20"/>
        </w:rPr>
        <w:footnoteReference w:id="1"/>
      </w:r>
    </w:p>
    <w:p w14:paraId="64F646E3" w14:textId="77777777" w:rsidR="006919EE" w:rsidRPr="001432B8" w:rsidRDefault="006919EE" w:rsidP="006919EE">
      <w:pPr>
        <w:rPr>
          <w:sz w:val="20"/>
          <w:szCs w:val="20"/>
        </w:rPr>
      </w:pPr>
    </w:p>
    <w:p w14:paraId="570A50A6"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Certificates of Character for admission;</w:t>
      </w:r>
      <w:r w:rsidRPr="001432B8">
        <w:rPr>
          <w:rStyle w:val="FootnoteReference"/>
          <w:sz w:val="20"/>
          <w:szCs w:val="20"/>
        </w:rPr>
        <w:footnoteReference w:id="2"/>
      </w:r>
    </w:p>
    <w:p w14:paraId="41C4D682"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Practising Certificates;</w:t>
      </w:r>
      <w:r w:rsidRPr="001432B8">
        <w:rPr>
          <w:rStyle w:val="FootnoteReference"/>
          <w:sz w:val="20"/>
          <w:szCs w:val="20"/>
        </w:rPr>
        <w:footnoteReference w:id="3"/>
      </w:r>
    </w:p>
    <w:p w14:paraId="376609C6"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 xml:space="preserve">Certificates of </w:t>
      </w:r>
      <w:proofErr w:type="gramStart"/>
      <w:r w:rsidRPr="001432B8">
        <w:rPr>
          <w:sz w:val="20"/>
          <w:szCs w:val="20"/>
        </w:rPr>
        <w:t>Standing;</w:t>
      </w:r>
      <w:proofErr w:type="gramEnd"/>
    </w:p>
    <w:p w14:paraId="6091D4E2"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 xml:space="preserve">Applications for approval for practice on own </w:t>
      </w:r>
      <w:proofErr w:type="gramStart"/>
      <w:r w:rsidRPr="001432B8">
        <w:rPr>
          <w:sz w:val="20"/>
          <w:szCs w:val="20"/>
        </w:rPr>
        <w:t>account;</w:t>
      </w:r>
      <w:proofErr w:type="gramEnd"/>
    </w:p>
    <w:p w14:paraId="55A0C7C7"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 xml:space="preserve">Applications for trust account supervisor </w:t>
      </w:r>
      <w:proofErr w:type="gramStart"/>
      <w:r w:rsidRPr="001432B8">
        <w:rPr>
          <w:sz w:val="20"/>
          <w:szCs w:val="20"/>
        </w:rPr>
        <w:t>exemptions;</w:t>
      </w:r>
      <w:proofErr w:type="gramEnd"/>
    </w:p>
    <w:p w14:paraId="141D09CB"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Handling of trust money;</w:t>
      </w:r>
      <w:r w:rsidRPr="001432B8">
        <w:rPr>
          <w:rStyle w:val="FootnoteReference"/>
          <w:sz w:val="20"/>
          <w:szCs w:val="20"/>
        </w:rPr>
        <w:footnoteReference w:id="4"/>
      </w:r>
    </w:p>
    <w:p w14:paraId="390D64D2"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Intervention rule dispensations for barristers;</w:t>
      </w:r>
      <w:r w:rsidRPr="001432B8">
        <w:rPr>
          <w:rStyle w:val="FootnoteReference"/>
          <w:sz w:val="20"/>
          <w:szCs w:val="20"/>
        </w:rPr>
        <w:footnoteReference w:id="5"/>
      </w:r>
    </w:p>
    <w:p w14:paraId="51E1AF58"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Consent to the operation of a power of attorney;</w:t>
      </w:r>
      <w:r w:rsidRPr="001432B8">
        <w:rPr>
          <w:rStyle w:val="FootnoteReference"/>
          <w:sz w:val="20"/>
          <w:szCs w:val="20"/>
        </w:rPr>
        <w:footnoteReference w:id="6"/>
      </w:r>
    </w:p>
    <w:p w14:paraId="5A10A1C0"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Applications to recommence practice on own account after more than 10 years;</w:t>
      </w:r>
      <w:r w:rsidRPr="001432B8">
        <w:rPr>
          <w:rStyle w:val="FootnoteReference"/>
          <w:sz w:val="20"/>
          <w:szCs w:val="20"/>
        </w:rPr>
        <w:footnoteReference w:id="7"/>
      </w:r>
    </w:p>
    <w:p w14:paraId="4B1A3A56" w14:textId="77777777" w:rsidR="006919EE" w:rsidRPr="001432B8" w:rsidRDefault="006919EE" w:rsidP="006919EE">
      <w:pPr>
        <w:pStyle w:val="ListParagraph"/>
        <w:numPr>
          <w:ilvl w:val="0"/>
          <w:numId w:val="5"/>
        </w:numPr>
        <w:ind w:hanging="720"/>
        <w:rPr>
          <w:sz w:val="20"/>
          <w:szCs w:val="20"/>
        </w:rPr>
      </w:pPr>
      <w:r w:rsidRPr="001432B8">
        <w:rPr>
          <w:sz w:val="20"/>
          <w:szCs w:val="20"/>
        </w:rPr>
        <w:t>Statutory applications:</w:t>
      </w:r>
      <w:r w:rsidRPr="001432B8">
        <w:rPr>
          <w:rStyle w:val="FootnoteReference"/>
          <w:sz w:val="20"/>
          <w:szCs w:val="20"/>
        </w:rPr>
        <w:footnoteReference w:id="8"/>
      </w:r>
    </w:p>
    <w:p w14:paraId="483CCB2F" w14:textId="77777777" w:rsidR="006919EE" w:rsidRPr="001432B8" w:rsidRDefault="006919EE" w:rsidP="006919EE">
      <w:pPr>
        <w:pStyle w:val="ListParagraph"/>
        <w:rPr>
          <w:sz w:val="20"/>
          <w:szCs w:val="20"/>
        </w:rPr>
      </w:pPr>
    </w:p>
    <w:p w14:paraId="5F4BB106" w14:textId="77777777" w:rsidR="006919EE" w:rsidRPr="001432B8" w:rsidRDefault="006919EE" w:rsidP="006919EE">
      <w:pPr>
        <w:pStyle w:val="ListParagraph"/>
        <w:numPr>
          <w:ilvl w:val="1"/>
          <w:numId w:val="5"/>
        </w:numPr>
        <w:spacing w:after="100"/>
        <w:contextualSpacing w:val="0"/>
        <w:rPr>
          <w:sz w:val="20"/>
          <w:szCs w:val="20"/>
        </w:rPr>
      </w:pPr>
      <w:r w:rsidRPr="001432B8">
        <w:rPr>
          <w:sz w:val="20"/>
          <w:szCs w:val="20"/>
        </w:rPr>
        <w:t>to the Disciplinary Tribunal in relation to consent to employ regarding Notice to Appear (and grounds of objection is applicable) or Notice of No Submission;</w:t>
      </w:r>
      <w:r w:rsidRPr="001432B8">
        <w:rPr>
          <w:rStyle w:val="FootnoteReference"/>
          <w:sz w:val="20"/>
          <w:szCs w:val="20"/>
        </w:rPr>
        <w:footnoteReference w:id="9"/>
      </w:r>
    </w:p>
    <w:p w14:paraId="75D3230B" w14:textId="77777777" w:rsidR="006919EE" w:rsidRPr="001432B8" w:rsidRDefault="006919EE" w:rsidP="006919EE">
      <w:pPr>
        <w:pStyle w:val="ListParagraph"/>
        <w:numPr>
          <w:ilvl w:val="1"/>
          <w:numId w:val="5"/>
        </w:numPr>
        <w:spacing w:after="100"/>
        <w:contextualSpacing w:val="0"/>
        <w:rPr>
          <w:sz w:val="20"/>
          <w:szCs w:val="20"/>
        </w:rPr>
      </w:pPr>
      <w:r w:rsidRPr="001432B8">
        <w:rPr>
          <w:sz w:val="20"/>
          <w:szCs w:val="20"/>
        </w:rPr>
        <w:t>to the Disciplinary Tribunal for restoration of name to the Roll of Barristers and Solicitors regarding Notice to Appear (and grounds of objection if applicable) or Notice of No Submission;</w:t>
      </w:r>
      <w:r w:rsidRPr="001432B8">
        <w:rPr>
          <w:rStyle w:val="FootnoteReference"/>
          <w:sz w:val="20"/>
          <w:szCs w:val="20"/>
        </w:rPr>
        <w:footnoteReference w:id="10"/>
      </w:r>
    </w:p>
    <w:p w14:paraId="3FF46477" w14:textId="77777777" w:rsidR="006919EE" w:rsidRPr="001432B8" w:rsidRDefault="006919EE" w:rsidP="006919EE">
      <w:pPr>
        <w:pStyle w:val="ListParagraph"/>
        <w:numPr>
          <w:ilvl w:val="1"/>
          <w:numId w:val="5"/>
        </w:numPr>
        <w:rPr>
          <w:sz w:val="20"/>
          <w:szCs w:val="20"/>
        </w:rPr>
      </w:pPr>
      <w:r w:rsidRPr="001432B8">
        <w:rPr>
          <w:sz w:val="20"/>
          <w:szCs w:val="20"/>
        </w:rPr>
        <w:t>for voluntary removal of name from Roll,</w:t>
      </w:r>
      <w:r w:rsidRPr="001432B8">
        <w:rPr>
          <w:rStyle w:val="FootnoteReference"/>
          <w:sz w:val="20"/>
          <w:szCs w:val="20"/>
        </w:rPr>
        <w:footnoteReference w:id="11"/>
      </w:r>
      <w:r w:rsidRPr="001432B8">
        <w:rPr>
          <w:sz w:val="20"/>
          <w:szCs w:val="20"/>
        </w:rPr>
        <w:t xml:space="preserve"> and restoration;</w:t>
      </w:r>
      <w:r w:rsidRPr="001432B8">
        <w:rPr>
          <w:rStyle w:val="FootnoteReference"/>
          <w:sz w:val="20"/>
          <w:szCs w:val="20"/>
        </w:rPr>
        <w:footnoteReference w:id="12"/>
      </w:r>
    </w:p>
    <w:p w14:paraId="1DBF12A8" w14:textId="77777777" w:rsidR="006919EE" w:rsidRPr="001432B8" w:rsidRDefault="006919EE" w:rsidP="006919EE">
      <w:pPr>
        <w:pStyle w:val="ListParagraph"/>
        <w:ind w:left="1440"/>
        <w:rPr>
          <w:sz w:val="20"/>
          <w:szCs w:val="20"/>
        </w:rPr>
      </w:pPr>
    </w:p>
    <w:p w14:paraId="463B8050" w14:textId="77777777" w:rsidR="006919EE" w:rsidRPr="001432B8" w:rsidRDefault="006919EE" w:rsidP="006919EE">
      <w:pPr>
        <w:pStyle w:val="ListParagraph"/>
        <w:numPr>
          <w:ilvl w:val="0"/>
          <w:numId w:val="5"/>
        </w:numPr>
        <w:spacing w:after="100"/>
        <w:ind w:hanging="720"/>
        <w:contextualSpacing w:val="0"/>
        <w:rPr>
          <w:sz w:val="20"/>
          <w:szCs w:val="20"/>
        </w:rPr>
      </w:pPr>
      <w:r w:rsidRPr="001432B8">
        <w:rPr>
          <w:sz w:val="20"/>
          <w:szCs w:val="20"/>
        </w:rPr>
        <w:t>Other Registry-related applications and matters, for example matters relating to practice issues that may arise, such as bankruptcy of a lawyer or where a lawyer has declared a conviction; and</w:t>
      </w:r>
    </w:p>
    <w:p w14:paraId="73B64943" w14:textId="77777777" w:rsidR="006919EE" w:rsidRPr="001432B8" w:rsidRDefault="006919EE" w:rsidP="006919EE">
      <w:pPr>
        <w:pStyle w:val="ListParagraph"/>
        <w:numPr>
          <w:ilvl w:val="0"/>
          <w:numId w:val="5"/>
        </w:numPr>
        <w:ind w:hanging="720"/>
        <w:rPr>
          <w:sz w:val="20"/>
          <w:szCs w:val="20"/>
        </w:rPr>
      </w:pPr>
      <w:r w:rsidRPr="001432B8">
        <w:rPr>
          <w:sz w:val="20"/>
          <w:szCs w:val="20"/>
        </w:rPr>
        <w:t>Any other related matters as referred to the Committee from time to time by the Executive Director, Council or Board.</w:t>
      </w:r>
    </w:p>
    <w:p w14:paraId="484CC389" w14:textId="33258521" w:rsidR="006919EE" w:rsidRPr="001432B8" w:rsidRDefault="006919EE">
      <w:pPr>
        <w:spacing w:after="160" w:line="259" w:lineRule="auto"/>
        <w:jc w:val="left"/>
        <w:rPr>
          <w:b/>
          <w:bCs/>
          <w:sz w:val="20"/>
          <w:szCs w:val="20"/>
        </w:rPr>
      </w:pPr>
    </w:p>
    <w:p w14:paraId="54B91CB1" w14:textId="77777777" w:rsidR="006919EE" w:rsidRPr="001432B8" w:rsidRDefault="006919EE">
      <w:pPr>
        <w:spacing w:after="160" w:line="259" w:lineRule="auto"/>
        <w:jc w:val="left"/>
        <w:rPr>
          <w:b/>
          <w:bCs/>
          <w:sz w:val="20"/>
          <w:szCs w:val="20"/>
        </w:rPr>
      </w:pPr>
      <w:r w:rsidRPr="001432B8">
        <w:rPr>
          <w:b/>
          <w:bCs/>
          <w:sz w:val="20"/>
          <w:szCs w:val="20"/>
        </w:rPr>
        <w:br w:type="page"/>
      </w:r>
    </w:p>
    <w:p w14:paraId="29BD6C58" w14:textId="0F373A02" w:rsidR="004A7DED" w:rsidRPr="001432B8" w:rsidRDefault="004A7DED" w:rsidP="004A7DED">
      <w:pPr>
        <w:jc w:val="center"/>
        <w:rPr>
          <w:sz w:val="20"/>
          <w:szCs w:val="20"/>
        </w:rPr>
      </w:pPr>
      <w:r w:rsidRPr="001432B8">
        <w:rPr>
          <w:b/>
          <w:bCs/>
          <w:sz w:val="20"/>
          <w:szCs w:val="20"/>
        </w:rPr>
        <w:lastRenderedPageBreak/>
        <w:t>Position Description</w:t>
      </w:r>
    </w:p>
    <w:p w14:paraId="62F23E50" w14:textId="77777777" w:rsidR="004A7DED" w:rsidRPr="001432B8" w:rsidRDefault="004A7DED" w:rsidP="004A7DED">
      <w:pPr>
        <w:jc w:val="center"/>
        <w:rPr>
          <w:sz w:val="20"/>
          <w:szCs w:val="20"/>
        </w:rPr>
      </w:pPr>
    </w:p>
    <w:p w14:paraId="024D74CF" w14:textId="77777777" w:rsidR="004A7DED" w:rsidRPr="001432B8" w:rsidRDefault="004A7DED" w:rsidP="004A7DED">
      <w:pPr>
        <w:jc w:val="center"/>
        <w:rPr>
          <w:sz w:val="20"/>
          <w:szCs w:val="20"/>
        </w:rPr>
      </w:pPr>
    </w:p>
    <w:p w14:paraId="7086D255" w14:textId="77777777" w:rsidR="004A7DED" w:rsidRPr="001432B8" w:rsidRDefault="004A7DED" w:rsidP="004A7DED">
      <w:pPr>
        <w:rPr>
          <w:sz w:val="20"/>
          <w:szCs w:val="20"/>
        </w:rPr>
      </w:pPr>
      <w:r w:rsidRPr="001432B8">
        <w:rPr>
          <w:b/>
          <w:bCs/>
          <w:sz w:val="20"/>
          <w:szCs w:val="20"/>
        </w:rPr>
        <w:t>Title:</w:t>
      </w:r>
      <w:r w:rsidRPr="001432B8">
        <w:rPr>
          <w:sz w:val="20"/>
          <w:szCs w:val="20"/>
        </w:rPr>
        <w:tab/>
      </w:r>
      <w:r w:rsidRPr="001432B8">
        <w:rPr>
          <w:sz w:val="20"/>
          <w:szCs w:val="20"/>
        </w:rPr>
        <w:tab/>
      </w:r>
      <w:r w:rsidRPr="001432B8">
        <w:rPr>
          <w:sz w:val="20"/>
          <w:szCs w:val="20"/>
        </w:rPr>
        <w:tab/>
        <w:t>Lay Member – Practice Approval Committee</w:t>
      </w:r>
    </w:p>
    <w:p w14:paraId="7F3FFC5E" w14:textId="58249FE4" w:rsidR="004A7DED" w:rsidRPr="001432B8" w:rsidRDefault="004A7DED" w:rsidP="004A7DED">
      <w:pPr>
        <w:rPr>
          <w:sz w:val="20"/>
          <w:szCs w:val="20"/>
        </w:rPr>
      </w:pPr>
      <w:r w:rsidRPr="001432B8">
        <w:rPr>
          <w:sz w:val="20"/>
          <w:szCs w:val="20"/>
        </w:rPr>
        <w:br/>
      </w:r>
      <w:r w:rsidRPr="001432B8">
        <w:rPr>
          <w:b/>
          <w:bCs/>
          <w:sz w:val="20"/>
          <w:szCs w:val="20"/>
        </w:rPr>
        <w:t>Reports to:</w:t>
      </w:r>
      <w:r w:rsidRPr="001432B8">
        <w:rPr>
          <w:sz w:val="20"/>
          <w:szCs w:val="20"/>
        </w:rPr>
        <w:tab/>
      </w:r>
      <w:r w:rsidRPr="001432B8">
        <w:rPr>
          <w:sz w:val="20"/>
          <w:szCs w:val="20"/>
        </w:rPr>
        <w:tab/>
        <w:t xml:space="preserve">The Convenor of the Practice Approval Committee to which the Lay Member </w:t>
      </w:r>
      <w:r w:rsidRPr="001432B8">
        <w:rPr>
          <w:sz w:val="20"/>
          <w:szCs w:val="20"/>
        </w:rPr>
        <w:tab/>
      </w:r>
      <w:r w:rsidRPr="001432B8">
        <w:rPr>
          <w:sz w:val="20"/>
          <w:szCs w:val="20"/>
        </w:rPr>
        <w:tab/>
      </w:r>
      <w:r w:rsidRPr="001432B8">
        <w:rPr>
          <w:sz w:val="20"/>
          <w:szCs w:val="20"/>
        </w:rPr>
        <w:tab/>
        <w:t>is appointed</w:t>
      </w:r>
    </w:p>
    <w:p w14:paraId="1016CF77" w14:textId="5621AF58" w:rsidR="000023EA" w:rsidRPr="001432B8" w:rsidRDefault="000023EA" w:rsidP="004A7DED">
      <w:pPr>
        <w:rPr>
          <w:sz w:val="20"/>
          <w:szCs w:val="20"/>
        </w:rPr>
      </w:pPr>
    </w:p>
    <w:p w14:paraId="655095C3" w14:textId="79EC6C3F" w:rsidR="000023EA" w:rsidRPr="001432B8" w:rsidRDefault="000023EA" w:rsidP="004A7DED">
      <w:pPr>
        <w:rPr>
          <w:sz w:val="20"/>
          <w:szCs w:val="20"/>
        </w:rPr>
      </w:pPr>
      <w:r w:rsidRPr="001432B8">
        <w:rPr>
          <w:sz w:val="20"/>
          <w:szCs w:val="20"/>
        </w:rPr>
        <w:tab/>
      </w:r>
      <w:r w:rsidRPr="001432B8">
        <w:rPr>
          <w:sz w:val="20"/>
          <w:szCs w:val="20"/>
        </w:rPr>
        <w:tab/>
      </w:r>
      <w:r w:rsidRPr="001432B8">
        <w:rPr>
          <w:sz w:val="20"/>
          <w:szCs w:val="20"/>
        </w:rPr>
        <w:tab/>
        <w:t>Practice Approval Committee Secretary for administrative matters</w:t>
      </w:r>
    </w:p>
    <w:p w14:paraId="54C18BDF" w14:textId="77777777" w:rsidR="004A7DED" w:rsidRPr="001432B8" w:rsidRDefault="004A7DED" w:rsidP="004A7DED">
      <w:pPr>
        <w:rPr>
          <w:sz w:val="20"/>
          <w:szCs w:val="20"/>
        </w:rPr>
      </w:pPr>
    </w:p>
    <w:p w14:paraId="201FCF3E" w14:textId="77777777" w:rsidR="004A7DED" w:rsidRPr="001432B8" w:rsidRDefault="004A7DED" w:rsidP="004A7DED">
      <w:pPr>
        <w:ind w:left="2160" w:hanging="2160"/>
        <w:rPr>
          <w:sz w:val="20"/>
          <w:szCs w:val="20"/>
        </w:rPr>
      </w:pPr>
      <w:r w:rsidRPr="001432B8">
        <w:rPr>
          <w:b/>
          <w:bCs/>
          <w:sz w:val="20"/>
          <w:szCs w:val="20"/>
        </w:rPr>
        <w:t>Other relationships:</w:t>
      </w:r>
      <w:r w:rsidRPr="001432B8">
        <w:rPr>
          <w:sz w:val="20"/>
          <w:szCs w:val="20"/>
        </w:rPr>
        <w:tab/>
        <w:t xml:space="preserve">Lay Members need to relate constructively with other Practice Approval Committee members (both lay and lawyer), the Committee Secretary and other advisors assisting the Committees – this includes any special investigators, legal counsel, or any other individual appointed to a </w:t>
      </w:r>
      <w:proofErr w:type="gramStart"/>
      <w:r w:rsidRPr="001432B8">
        <w:rPr>
          <w:sz w:val="20"/>
          <w:szCs w:val="20"/>
        </w:rPr>
        <w:t>Committee</w:t>
      </w:r>
      <w:proofErr w:type="gramEnd"/>
    </w:p>
    <w:p w14:paraId="7F5E4035" w14:textId="77777777" w:rsidR="004A7DED" w:rsidRPr="001432B8" w:rsidRDefault="004A7DED" w:rsidP="004A7DED">
      <w:pPr>
        <w:ind w:left="2160" w:hanging="2160"/>
        <w:rPr>
          <w:sz w:val="20"/>
          <w:szCs w:val="20"/>
        </w:rPr>
      </w:pPr>
    </w:p>
    <w:p w14:paraId="5DD2246B" w14:textId="77777777" w:rsidR="004A7DED" w:rsidRPr="001432B8" w:rsidRDefault="004A7DED" w:rsidP="004A7DED">
      <w:pPr>
        <w:ind w:left="2160" w:hanging="2160"/>
        <w:rPr>
          <w:sz w:val="20"/>
          <w:szCs w:val="20"/>
        </w:rPr>
      </w:pPr>
    </w:p>
    <w:p w14:paraId="61CBFDC0" w14:textId="77777777" w:rsidR="004A7DED" w:rsidRPr="001432B8" w:rsidRDefault="004A7DED" w:rsidP="004A7DED">
      <w:pPr>
        <w:ind w:left="2160" w:hanging="2160"/>
        <w:rPr>
          <w:sz w:val="20"/>
          <w:szCs w:val="20"/>
        </w:rPr>
      </w:pPr>
      <w:r w:rsidRPr="001432B8">
        <w:rPr>
          <w:b/>
          <w:bCs/>
          <w:sz w:val="20"/>
          <w:szCs w:val="20"/>
        </w:rPr>
        <w:t>Competencies</w:t>
      </w:r>
    </w:p>
    <w:p w14:paraId="69D2A9A1" w14:textId="77777777" w:rsidR="004A7DED" w:rsidRPr="001432B8" w:rsidRDefault="004A7DED" w:rsidP="004A7DED">
      <w:pPr>
        <w:ind w:left="2160" w:hanging="2160"/>
        <w:rPr>
          <w:sz w:val="20"/>
          <w:szCs w:val="20"/>
        </w:rPr>
      </w:pPr>
    </w:p>
    <w:p w14:paraId="51C2817E" w14:textId="77777777" w:rsidR="004A7DED" w:rsidRPr="001432B8" w:rsidRDefault="004A7DED" w:rsidP="004A7DED">
      <w:pPr>
        <w:ind w:left="2160" w:hanging="2160"/>
        <w:rPr>
          <w:sz w:val="20"/>
          <w:szCs w:val="20"/>
        </w:rPr>
      </w:pPr>
      <w:r w:rsidRPr="001432B8">
        <w:rPr>
          <w:sz w:val="20"/>
          <w:szCs w:val="20"/>
        </w:rPr>
        <w:t>Specific competencies will include:</w:t>
      </w:r>
    </w:p>
    <w:p w14:paraId="2DEEB037" w14:textId="77777777" w:rsidR="004A7DED" w:rsidRPr="001432B8" w:rsidRDefault="004A7DED" w:rsidP="004A7DED">
      <w:pPr>
        <w:ind w:left="2160" w:hanging="2160"/>
        <w:rPr>
          <w:sz w:val="20"/>
          <w:szCs w:val="20"/>
        </w:rPr>
      </w:pPr>
    </w:p>
    <w:p w14:paraId="38EB07F8" w14:textId="77777777" w:rsidR="004A7DED" w:rsidRPr="001432B8" w:rsidRDefault="004A7DED" w:rsidP="00FC38D7">
      <w:pPr>
        <w:pStyle w:val="ListParagraph"/>
        <w:numPr>
          <w:ilvl w:val="0"/>
          <w:numId w:val="3"/>
        </w:numPr>
        <w:spacing w:after="100"/>
        <w:ind w:left="714" w:hanging="357"/>
        <w:contextualSpacing w:val="0"/>
        <w:rPr>
          <w:sz w:val="20"/>
          <w:szCs w:val="20"/>
        </w:rPr>
      </w:pPr>
      <w:r w:rsidRPr="001432B8">
        <w:rPr>
          <w:sz w:val="20"/>
          <w:szCs w:val="20"/>
        </w:rPr>
        <w:t xml:space="preserve">critical thinking, sound judgement and analytical </w:t>
      </w:r>
      <w:proofErr w:type="gramStart"/>
      <w:r w:rsidRPr="001432B8">
        <w:rPr>
          <w:sz w:val="20"/>
          <w:szCs w:val="20"/>
        </w:rPr>
        <w:t>skills;</w:t>
      </w:r>
      <w:proofErr w:type="gramEnd"/>
    </w:p>
    <w:p w14:paraId="2B9D94B4" w14:textId="77777777" w:rsidR="004A7DED" w:rsidRPr="001432B8" w:rsidRDefault="004A7DED" w:rsidP="00FC38D7">
      <w:pPr>
        <w:pStyle w:val="ListParagraph"/>
        <w:numPr>
          <w:ilvl w:val="0"/>
          <w:numId w:val="3"/>
        </w:numPr>
        <w:spacing w:after="100"/>
        <w:ind w:left="714" w:hanging="357"/>
        <w:contextualSpacing w:val="0"/>
        <w:rPr>
          <w:sz w:val="20"/>
          <w:szCs w:val="20"/>
        </w:rPr>
      </w:pPr>
      <w:r w:rsidRPr="001432B8">
        <w:rPr>
          <w:sz w:val="20"/>
          <w:szCs w:val="20"/>
        </w:rPr>
        <w:t xml:space="preserve">the ability to communicate effectively and accurately, both verbally and in </w:t>
      </w:r>
      <w:proofErr w:type="gramStart"/>
      <w:r w:rsidRPr="001432B8">
        <w:rPr>
          <w:sz w:val="20"/>
          <w:szCs w:val="20"/>
        </w:rPr>
        <w:t>writing;</w:t>
      </w:r>
      <w:proofErr w:type="gramEnd"/>
    </w:p>
    <w:p w14:paraId="575E8E89" w14:textId="77777777" w:rsidR="004A7DED" w:rsidRPr="001432B8" w:rsidRDefault="004A7DED" w:rsidP="00FC38D7">
      <w:pPr>
        <w:pStyle w:val="ListParagraph"/>
        <w:numPr>
          <w:ilvl w:val="0"/>
          <w:numId w:val="3"/>
        </w:numPr>
        <w:spacing w:after="100"/>
        <w:ind w:left="714" w:hanging="357"/>
        <w:contextualSpacing w:val="0"/>
        <w:rPr>
          <w:sz w:val="20"/>
          <w:szCs w:val="20"/>
        </w:rPr>
      </w:pPr>
      <w:r w:rsidRPr="001432B8">
        <w:rPr>
          <w:sz w:val="20"/>
          <w:szCs w:val="20"/>
        </w:rPr>
        <w:t xml:space="preserve">good organisational </w:t>
      </w:r>
      <w:proofErr w:type="gramStart"/>
      <w:r w:rsidRPr="001432B8">
        <w:rPr>
          <w:sz w:val="20"/>
          <w:szCs w:val="20"/>
        </w:rPr>
        <w:t>skills;</w:t>
      </w:r>
      <w:proofErr w:type="gramEnd"/>
    </w:p>
    <w:p w14:paraId="618F131B" w14:textId="77777777" w:rsidR="004A7DED" w:rsidRPr="001432B8" w:rsidRDefault="004A7DED" w:rsidP="00FC38D7">
      <w:pPr>
        <w:pStyle w:val="ListParagraph"/>
        <w:numPr>
          <w:ilvl w:val="0"/>
          <w:numId w:val="3"/>
        </w:numPr>
        <w:spacing w:after="100"/>
        <w:ind w:left="714" w:hanging="357"/>
        <w:contextualSpacing w:val="0"/>
        <w:rPr>
          <w:sz w:val="20"/>
          <w:szCs w:val="20"/>
        </w:rPr>
      </w:pPr>
      <w:r w:rsidRPr="001432B8">
        <w:rPr>
          <w:sz w:val="20"/>
          <w:szCs w:val="20"/>
        </w:rPr>
        <w:t>the ability to work effectively in a team, or individually as required; and</w:t>
      </w:r>
    </w:p>
    <w:p w14:paraId="48DCDDE2" w14:textId="77777777" w:rsidR="004A7DED" w:rsidRPr="001432B8" w:rsidRDefault="004A7DED" w:rsidP="004A7DED">
      <w:pPr>
        <w:pStyle w:val="ListParagraph"/>
        <w:numPr>
          <w:ilvl w:val="0"/>
          <w:numId w:val="3"/>
        </w:numPr>
        <w:rPr>
          <w:sz w:val="20"/>
          <w:szCs w:val="20"/>
        </w:rPr>
      </w:pPr>
      <w:r w:rsidRPr="001432B8">
        <w:rPr>
          <w:sz w:val="20"/>
          <w:szCs w:val="20"/>
        </w:rPr>
        <w:t>Microsoft Office competency and computer literacy.</w:t>
      </w:r>
    </w:p>
    <w:p w14:paraId="5C38F03B" w14:textId="77777777" w:rsidR="004A7DED" w:rsidRPr="001432B8" w:rsidRDefault="004A7DED" w:rsidP="004A7DED">
      <w:pPr>
        <w:rPr>
          <w:sz w:val="20"/>
          <w:szCs w:val="20"/>
        </w:rPr>
      </w:pPr>
    </w:p>
    <w:p w14:paraId="0F64EC11" w14:textId="77777777" w:rsidR="004A7DED" w:rsidRPr="001432B8" w:rsidRDefault="004A7DED" w:rsidP="004A7DED">
      <w:pPr>
        <w:rPr>
          <w:sz w:val="20"/>
          <w:szCs w:val="20"/>
        </w:rPr>
      </w:pPr>
    </w:p>
    <w:p w14:paraId="2DC0F97B" w14:textId="77777777" w:rsidR="004A7DED" w:rsidRPr="001432B8" w:rsidRDefault="004A7DED" w:rsidP="004A7DED">
      <w:pPr>
        <w:rPr>
          <w:sz w:val="20"/>
          <w:szCs w:val="20"/>
        </w:rPr>
      </w:pPr>
      <w:r w:rsidRPr="001432B8">
        <w:rPr>
          <w:b/>
          <w:bCs/>
          <w:sz w:val="20"/>
          <w:szCs w:val="20"/>
        </w:rPr>
        <w:t>Conditions of Appointment</w:t>
      </w:r>
    </w:p>
    <w:p w14:paraId="5F2FAB17" w14:textId="77777777" w:rsidR="004A7DED" w:rsidRPr="001432B8" w:rsidRDefault="004A7DED" w:rsidP="004A7DED">
      <w:pPr>
        <w:rPr>
          <w:sz w:val="20"/>
          <w:szCs w:val="20"/>
        </w:rPr>
      </w:pPr>
    </w:p>
    <w:p w14:paraId="42C36F2A" w14:textId="4D2A63C6"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The position is on a part-time basis and for a fixed term as specified by the New Zealand Law Society Te Kāhui Ture o Aotearoa Board (the Board) at the time of appointment.</w:t>
      </w:r>
    </w:p>
    <w:p w14:paraId="093A91EA" w14:textId="0FAA8EF8" w:rsidR="004D1E2E" w:rsidRPr="001432B8" w:rsidRDefault="004D1E2E" w:rsidP="00FC38D7">
      <w:pPr>
        <w:pStyle w:val="ListParagraph"/>
        <w:numPr>
          <w:ilvl w:val="0"/>
          <w:numId w:val="4"/>
        </w:numPr>
        <w:spacing w:after="100"/>
        <w:ind w:hanging="357"/>
        <w:contextualSpacing w:val="0"/>
        <w:rPr>
          <w:sz w:val="20"/>
          <w:szCs w:val="20"/>
        </w:rPr>
      </w:pPr>
      <w:r w:rsidRPr="001432B8">
        <w:rPr>
          <w:sz w:val="20"/>
          <w:szCs w:val="20"/>
        </w:rPr>
        <w:t xml:space="preserve">Appointment is for a term of three years, with the opportunity to be reappointed for a further two three-year terms (a total of three terms/nine </w:t>
      </w:r>
      <w:proofErr w:type="spellStart"/>
      <w:r w:rsidRPr="001432B8">
        <w:rPr>
          <w:sz w:val="20"/>
          <w:szCs w:val="20"/>
        </w:rPr>
        <w:t>years service</w:t>
      </w:r>
      <w:proofErr w:type="spellEnd"/>
      <w:r w:rsidRPr="001432B8">
        <w:rPr>
          <w:sz w:val="20"/>
          <w:szCs w:val="20"/>
        </w:rPr>
        <w:t>).</w:t>
      </w:r>
    </w:p>
    <w:p w14:paraId="5E8C87FB" w14:textId="7777777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The appointment and remuneration of Lay Members is the responsibility of the Board.</w:t>
      </w:r>
    </w:p>
    <w:p w14:paraId="50498D56" w14:textId="70D69635"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Remuneration is paid at rate of $</w:t>
      </w:r>
      <w:r w:rsidR="004D1E2E" w:rsidRPr="001432B8">
        <w:rPr>
          <w:sz w:val="20"/>
          <w:szCs w:val="20"/>
        </w:rPr>
        <w:t>200</w:t>
      </w:r>
      <w:r w:rsidRPr="001432B8">
        <w:rPr>
          <w:sz w:val="20"/>
          <w:szCs w:val="20"/>
        </w:rPr>
        <w:t xml:space="preserve"> (gross) per meeting, which includes all pre-meeting preparation work.</w:t>
      </w:r>
    </w:p>
    <w:p w14:paraId="71ABBC20" w14:textId="2080CB84" w:rsidR="000023EA" w:rsidRPr="001432B8" w:rsidRDefault="000023EA" w:rsidP="00FC38D7">
      <w:pPr>
        <w:pStyle w:val="ListParagraph"/>
        <w:numPr>
          <w:ilvl w:val="0"/>
          <w:numId w:val="4"/>
        </w:numPr>
        <w:spacing w:after="100"/>
        <w:ind w:hanging="357"/>
        <w:contextualSpacing w:val="0"/>
        <w:rPr>
          <w:sz w:val="20"/>
          <w:szCs w:val="20"/>
        </w:rPr>
      </w:pPr>
      <w:r w:rsidRPr="001432B8">
        <w:rPr>
          <w:sz w:val="20"/>
          <w:szCs w:val="20"/>
        </w:rPr>
        <w:t>Reasonable travel expenses will be reimbursed on a case-by-case basis.</w:t>
      </w:r>
    </w:p>
    <w:p w14:paraId="30BFFE53" w14:textId="7777777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Lay Members must have the ability to receive meeting papers electronically.</w:t>
      </w:r>
    </w:p>
    <w:p w14:paraId="508C8713" w14:textId="7777777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Lay Members are required to undergo a criminal conviction history check before being appointed and must inform the Law Society immediately if they are charged with, and/or convicted of, a criminal offence.</w:t>
      </w:r>
    </w:p>
    <w:p w14:paraId="3A26C456" w14:textId="7777777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Lay Members must inform the Law Society immediately if allegations of workplace bullying or sexual harassment arise against them or their employer.</w:t>
      </w:r>
    </w:p>
    <w:p w14:paraId="7C46E850" w14:textId="7E019CE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Lay Members are required to attend meetings of the Committee to which they are appointed and to take direction from the Convenor, whilst exercising independent judgement on matters under inquiry.</w:t>
      </w:r>
    </w:p>
    <w:p w14:paraId="1EED390A" w14:textId="0808B632" w:rsidR="000023EA" w:rsidRPr="001432B8" w:rsidRDefault="000023EA" w:rsidP="00FC38D7">
      <w:pPr>
        <w:pStyle w:val="ListParagraph"/>
        <w:numPr>
          <w:ilvl w:val="0"/>
          <w:numId w:val="4"/>
        </w:numPr>
        <w:spacing w:after="100"/>
        <w:ind w:hanging="357"/>
        <w:contextualSpacing w:val="0"/>
        <w:rPr>
          <w:sz w:val="20"/>
          <w:szCs w:val="20"/>
        </w:rPr>
      </w:pPr>
      <w:r w:rsidRPr="001432B8">
        <w:rPr>
          <w:sz w:val="20"/>
          <w:szCs w:val="20"/>
        </w:rPr>
        <w:t>Committees meet typically once per month on a date where a quorum of the Lay Member plus three lawyers is confirmed.</w:t>
      </w:r>
    </w:p>
    <w:p w14:paraId="474B336F" w14:textId="7777777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All the activities of the Committees are strictly confidential, subject to publication orders and permitted disclosure to parties, the Lawyers and Conveyancers Disciplinary Tribunal and the courts.</w:t>
      </w:r>
    </w:p>
    <w:p w14:paraId="2B00F23B" w14:textId="0B58F0F2"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lastRenderedPageBreak/>
        <w:t xml:space="preserve">All Lay Members are subject to, and must work in accordance with, the provisions of the Lawyers and Conveyancers Act 2006 (the Act), and all rules and regulations made under the Act, the Practice Approval Committee Guidelines, and any practice </w:t>
      </w:r>
      <w:proofErr w:type="gramStart"/>
      <w:r w:rsidRPr="001432B8">
        <w:rPr>
          <w:sz w:val="20"/>
          <w:szCs w:val="20"/>
        </w:rPr>
        <w:t>notes</w:t>
      </w:r>
      <w:r w:rsidR="004D1E2E" w:rsidRPr="001432B8">
        <w:rPr>
          <w:sz w:val="20"/>
          <w:szCs w:val="20"/>
        </w:rPr>
        <w:t>;</w:t>
      </w:r>
      <w:proofErr w:type="gramEnd"/>
      <w:r w:rsidR="004D1E2E" w:rsidRPr="001432B8">
        <w:rPr>
          <w:sz w:val="20"/>
          <w:szCs w:val="20"/>
        </w:rPr>
        <w:t xml:space="preserve"> including the Privacy Act 2020.</w:t>
      </w:r>
    </w:p>
    <w:p w14:paraId="5E599128" w14:textId="112BDBE8"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 xml:space="preserve">Lay Members must be alert to the possibility of conflicts of interest arising </w:t>
      </w:r>
      <w:r w:rsidR="004D1E2E" w:rsidRPr="001432B8">
        <w:rPr>
          <w:sz w:val="20"/>
          <w:szCs w:val="20"/>
        </w:rPr>
        <w:t>in</w:t>
      </w:r>
      <w:r w:rsidRPr="001432B8">
        <w:rPr>
          <w:sz w:val="20"/>
          <w:szCs w:val="20"/>
        </w:rPr>
        <w:t xml:space="preserve"> the course of their duties and must make any potential or actual conflict of interest known to the Convenor as soon as it arises.</w:t>
      </w:r>
    </w:p>
    <w:p w14:paraId="2D228F90" w14:textId="77777777"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A Lay Member may resign at any time by notice in writing to the Law Society.</w:t>
      </w:r>
    </w:p>
    <w:p w14:paraId="21EA4D99" w14:textId="37B11C21"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The Board may remove a Lay Member from office where it is satisfied the Lay Member is unable to fulfil their role properly, including</w:t>
      </w:r>
      <w:r w:rsidR="000023EA" w:rsidRPr="001432B8">
        <w:rPr>
          <w:sz w:val="20"/>
          <w:szCs w:val="20"/>
        </w:rPr>
        <w:t xml:space="preserve"> for</w:t>
      </w:r>
      <w:r w:rsidRPr="001432B8">
        <w:rPr>
          <w:sz w:val="20"/>
          <w:szCs w:val="20"/>
        </w:rPr>
        <w:t>:</w:t>
      </w:r>
    </w:p>
    <w:p w14:paraId="34AFA898" w14:textId="77777777" w:rsidR="004A7DED" w:rsidRPr="001432B8" w:rsidRDefault="004A7DED" w:rsidP="00FC38D7">
      <w:pPr>
        <w:pStyle w:val="ListParagraph"/>
        <w:numPr>
          <w:ilvl w:val="1"/>
          <w:numId w:val="4"/>
        </w:numPr>
        <w:spacing w:after="100"/>
        <w:ind w:hanging="357"/>
        <w:contextualSpacing w:val="0"/>
        <w:rPr>
          <w:sz w:val="20"/>
          <w:szCs w:val="20"/>
        </w:rPr>
      </w:pPr>
      <w:r w:rsidRPr="001432B8">
        <w:rPr>
          <w:sz w:val="20"/>
          <w:szCs w:val="20"/>
        </w:rPr>
        <w:t>persistent inability to competently perform the duties of a Lay Member; or</w:t>
      </w:r>
    </w:p>
    <w:p w14:paraId="51E3AA08" w14:textId="71F0EF2C" w:rsidR="004A7DED" w:rsidRPr="001432B8" w:rsidRDefault="004A7DED" w:rsidP="00FC38D7">
      <w:pPr>
        <w:pStyle w:val="ListParagraph"/>
        <w:numPr>
          <w:ilvl w:val="1"/>
          <w:numId w:val="4"/>
        </w:numPr>
        <w:spacing w:after="100"/>
        <w:ind w:hanging="357"/>
        <w:contextualSpacing w:val="0"/>
        <w:rPr>
          <w:sz w:val="20"/>
          <w:szCs w:val="20"/>
        </w:rPr>
      </w:pPr>
      <w:r w:rsidRPr="001432B8">
        <w:rPr>
          <w:sz w:val="20"/>
          <w:szCs w:val="20"/>
        </w:rPr>
        <w:t>persistent neglect of those duties, including the failure to attend meetings or to be adequately prepared for meetings, or to undertake such work as is reasonabl</w:t>
      </w:r>
      <w:r w:rsidR="000023EA" w:rsidRPr="001432B8">
        <w:rPr>
          <w:sz w:val="20"/>
          <w:szCs w:val="20"/>
        </w:rPr>
        <w:t>y</w:t>
      </w:r>
      <w:r w:rsidRPr="001432B8">
        <w:rPr>
          <w:sz w:val="20"/>
          <w:szCs w:val="20"/>
        </w:rPr>
        <w:t xml:space="preserve"> delegated to them.</w:t>
      </w:r>
    </w:p>
    <w:p w14:paraId="25FED471" w14:textId="428B834E" w:rsidR="004A7DED" w:rsidRPr="001432B8" w:rsidRDefault="004A7DED" w:rsidP="00FC38D7">
      <w:pPr>
        <w:pStyle w:val="ListParagraph"/>
        <w:numPr>
          <w:ilvl w:val="0"/>
          <w:numId w:val="4"/>
        </w:numPr>
        <w:spacing w:after="100"/>
        <w:ind w:hanging="357"/>
        <w:contextualSpacing w:val="0"/>
        <w:rPr>
          <w:sz w:val="20"/>
          <w:szCs w:val="20"/>
        </w:rPr>
      </w:pPr>
      <w:r w:rsidRPr="001432B8">
        <w:rPr>
          <w:sz w:val="20"/>
          <w:szCs w:val="20"/>
        </w:rPr>
        <w:t>A Lay Member may</w:t>
      </w:r>
      <w:r w:rsidR="000023EA" w:rsidRPr="001432B8">
        <w:rPr>
          <w:sz w:val="20"/>
          <w:szCs w:val="20"/>
        </w:rPr>
        <w:t xml:space="preserve"> </w:t>
      </w:r>
      <w:r w:rsidRPr="001432B8">
        <w:rPr>
          <w:sz w:val="20"/>
          <w:szCs w:val="20"/>
        </w:rPr>
        <w:t xml:space="preserve">be removed in circumstances where they have engaged in serious misconduct or have been convicted of a criminal offence punishable by imprisonment and the Board considers that the misconduct and/or the conviction reflects on the Lay Member’s fitness to continue to serve on a </w:t>
      </w:r>
      <w:proofErr w:type="gramStart"/>
      <w:r w:rsidRPr="001432B8">
        <w:rPr>
          <w:sz w:val="20"/>
          <w:szCs w:val="20"/>
        </w:rPr>
        <w:t>Committee</w:t>
      </w:r>
      <w:proofErr w:type="gramEnd"/>
      <w:r w:rsidR="000023EA" w:rsidRPr="001432B8">
        <w:rPr>
          <w:sz w:val="20"/>
          <w:szCs w:val="20"/>
        </w:rPr>
        <w:t>.</w:t>
      </w:r>
    </w:p>
    <w:p w14:paraId="394CA8F0" w14:textId="2984193C" w:rsidR="000023EA" w:rsidRPr="001432B8" w:rsidRDefault="000023EA" w:rsidP="00FC38D7">
      <w:pPr>
        <w:pStyle w:val="ListParagraph"/>
        <w:numPr>
          <w:ilvl w:val="0"/>
          <w:numId w:val="4"/>
        </w:numPr>
        <w:spacing w:after="100"/>
        <w:ind w:hanging="357"/>
        <w:contextualSpacing w:val="0"/>
        <w:rPr>
          <w:sz w:val="20"/>
          <w:szCs w:val="20"/>
        </w:rPr>
      </w:pPr>
      <w:r w:rsidRPr="001432B8">
        <w:rPr>
          <w:sz w:val="20"/>
          <w:szCs w:val="20"/>
        </w:rPr>
        <w:t xml:space="preserve">A Lay Member may </w:t>
      </w:r>
      <w:proofErr w:type="spellStart"/>
      <w:proofErr w:type="gramStart"/>
      <w:r w:rsidRPr="001432B8">
        <w:rPr>
          <w:sz w:val="20"/>
          <w:szCs w:val="20"/>
        </w:rPr>
        <w:t>removed</w:t>
      </w:r>
      <w:proofErr w:type="spellEnd"/>
      <w:proofErr w:type="gramEnd"/>
      <w:r w:rsidRPr="001432B8">
        <w:rPr>
          <w:sz w:val="20"/>
          <w:szCs w:val="20"/>
        </w:rPr>
        <w:t xml:space="preserve"> in circumstances of bankruptcy.</w:t>
      </w:r>
    </w:p>
    <w:p w14:paraId="3C28BD3B" w14:textId="77777777" w:rsidR="004A7DED" w:rsidRPr="001432B8" w:rsidRDefault="004A7DED" w:rsidP="004A7DED">
      <w:pPr>
        <w:pStyle w:val="ListParagraph"/>
        <w:numPr>
          <w:ilvl w:val="0"/>
          <w:numId w:val="4"/>
        </w:numPr>
        <w:rPr>
          <w:sz w:val="20"/>
          <w:szCs w:val="20"/>
        </w:rPr>
      </w:pPr>
      <w:r w:rsidRPr="001432B8">
        <w:rPr>
          <w:sz w:val="20"/>
          <w:szCs w:val="20"/>
        </w:rPr>
        <w:t>All Committee members are protected from civil or criminal liability in the performance of their duties unless they have acted in bad faith.</w:t>
      </w:r>
    </w:p>
    <w:p w14:paraId="01F05388" w14:textId="77777777" w:rsidR="004A7DED" w:rsidRPr="001432B8" w:rsidRDefault="004A7DED" w:rsidP="004A7DED">
      <w:pPr>
        <w:rPr>
          <w:sz w:val="20"/>
          <w:szCs w:val="20"/>
        </w:rPr>
      </w:pPr>
    </w:p>
    <w:p w14:paraId="7BC14CBD" w14:textId="77777777" w:rsidR="004A7DED" w:rsidRPr="001432B8" w:rsidRDefault="004A7DED" w:rsidP="004A7DED">
      <w:pPr>
        <w:rPr>
          <w:sz w:val="20"/>
          <w:szCs w:val="20"/>
        </w:rPr>
      </w:pPr>
    </w:p>
    <w:p w14:paraId="41A9E1AD" w14:textId="13AE3F1F" w:rsidR="004A7DED" w:rsidRPr="001432B8" w:rsidRDefault="004A7DED" w:rsidP="004A7DED">
      <w:pPr>
        <w:rPr>
          <w:b/>
          <w:bCs/>
          <w:sz w:val="20"/>
          <w:szCs w:val="20"/>
        </w:rPr>
      </w:pPr>
      <w:r w:rsidRPr="001432B8">
        <w:rPr>
          <w:b/>
          <w:bCs/>
          <w:sz w:val="20"/>
          <w:szCs w:val="20"/>
        </w:rPr>
        <w:t xml:space="preserve">If you wish to be considered for appointment as a Lay member of a </w:t>
      </w:r>
      <w:r w:rsidR="000023EA" w:rsidRPr="001432B8">
        <w:rPr>
          <w:b/>
          <w:bCs/>
          <w:sz w:val="20"/>
          <w:szCs w:val="20"/>
        </w:rPr>
        <w:t xml:space="preserve">Practice Approval </w:t>
      </w:r>
      <w:r w:rsidRPr="001432B8">
        <w:rPr>
          <w:b/>
          <w:bCs/>
          <w:sz w:val="20"/>
          <w:szCs w:val="20"/>
        </w:rPr>
        <w:t xml:space="preserve">Committee, and you meet these requirements, please complete the </w:t>
      </w:r>
      <w:r w:rsidR="00CD7B99">
        <w:rPr>
          <w:b/>
          <w:bCs/>
          <w:sz w:val="20"/>
          <w:szCs w:val="20"/>
        </w:rPr>
        <w:t>Expression of Interest/</w:t>
      </w:r>
      <w:r w:rsidRPr="001432B8">
        <w:rPr>
          <w:b/>
          <w:bCs/>
          <w:sz w:val="20"/>
          <w:szCs w:val="20"/>
        </w:rPr>
        <w:t>application form</w:t>
      </w:r>
      <w:r w:rsidR="00CD7B99">
        <w:rPr>
          <w:b/>
          <w:bCs/>
          <w:sz w:val="20"/>
          <w:szCs w:val="20"/>
        </w:rPr>
        <w:t>,</w:t>
      </w:r>
      <w:r w:rsidRPr="001432B8">
        <w:rPr>
          <w:b/>
          <w:bCs/>
          <w:sz w:val="20"/>
          <w:szCs w:val="20"/>
        </w:rPr>
        <w:t xml:space="preserve"> supplemented by your full CV, and any additional supporting documentation you wish to provide, and submit it to the Practice Approval Committee Secretary.</w:t>
      </w:r>
      <w:r w:rsidR="00CD7B99">
        <w:rPr>
          <w:b/>
          <w:bCs/>
          <w:sz w:val="20"/>
          <w:szCs w:val="20"/>
        </w:rPr>
        <w:t xml:space="preserve"> </w:t>
      </w:r>
    </w:p>
    <w:p w14:paraId="3BD7D594" w14:textId="77777777" w:rsidR="004A7DED" w:rsidRDefault="004A7DED" w:rsidP="004A7DED">
      <w:pPr>
        <w:rPr>
          <w:sz w:val="20"/>
          <w:szCs w:val="20"/>
        </w:rPr>
      </w:pPr>
    </w:p>
    <w:p w14:paraId="05478129" w14:textId="77777777" w:rsidR="00A06756" w:rsidRDefault="00A06756" w:rsidP="004A7DED">
      <w:pPr>
        <w:rPr>
          <w:sz w:val="20"/>
          <w:szCs w:val="20"/>
        </w:rPr>
      </w:pPr>
    </w:p>
    <w:p w14:paraId="6D647829" w14:textId="77777777" w:rsidR="00A06756" w:rsidRPr="001432B8" w:rsidRDefault="00A06756" w:rsidP="004A7DED">
      <w:pPr>
        <w:rPr>
          <w:sz w:val="20"/>
          <w:szCs w:val="20"/>
        </w:rPr>
      </w:pPr>
    </w:p>
    <w:p w14:paraId="2ED11590" w14:textId="77777777" w:rsidR="006C6C95" w:rsidRDefault="006C6C95">
      <w:pPr>
        <w:spacing w:after="160" w:line="259" w:lineRule="auto"/>
        <w:jc w:val="left"/>
        <w:rPr>
          <w:sz w:val="20"/>
          <w:szCs w:val="20"/>
        </w:rPr>
        <w:sectPr w:rsidR="006C6C95">
          <w:pgSz w:w="11906" w:h="16838"/>
          <w:pgMar w:top="1440" w:right="1440" w:bottom="1440" w:left="1440" w:header="708" w:footer="708" w:gutter="0"/>
          <w:cols w:space="708"/>
          <w:docGrid w:linePitch="360"/>
        </w:sectPr>
      </w:pPr>
    </w:p>
    <w:p w14:paraId="34AE79A6" w14:textId="7366F300" w:rsidR="004A7DED" w:rsidRPr="001432B8" w:rsidRDefault="004A7DED" w:rsidP="00CD7B99">
      <w:pPr>
        <w:jc w:val="center"/>
        <w:rPr>
          <w:b/>
          <w:bCs/>
          <w:sz w:val="20"/>
          <w:szCs w:val="20"/>
        </w:rPr>
      </w:pPr>
    </w:p>
    <w:sectPr w:rsidR="004A7DED" w:rsidRPr="001432B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4A46" w14:textId="77777777" w:rsidR="00F40F90" w:rsidRDefault="00F40F90" w:rsidP="009071FD">
      <w:r>
        <w:separator/>
      </w:r>
    </w:p>
  </w:endnote>
  <w:endnote w:type="continuationSeparator" w:id="0">
    <w:p w14:paraId="1E4CF895" w14:textId="77777777" w:rsidR="00F40F90" w:rsidRDefault="00F40F90" w:rsidP="0090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9E54" w14:textId="77777777" w:rsidR="006C6C95" w:rsidRPr="006C6C95" w:rsidRDefault="006C6C95" w:rsidP="006C6C95">
    <w:pPr>
      <w:rPr>
        <w:sz w:val="18"/>
        <w:szCs w:val="18"/>
      </w:rPr>
    </w:pPr>
    <w:r w:rsidRPr="006C6C95">
      <w:rPr>
        <w:sz w:val="18"/>
        <w:szCs w:val="18"/>
      </w:rPr>
      <w:t>The personal information collected and held by the Law Society will be used to process and assess your application, and for purposes connected with the Law Society’s regulatory or representative functions, or both.</w:t>
    </w:r>
  </w:p>
  <w:p w14:paraId="1EE8D622" w14:textId="77777777" w:rsidR="006C6C95" w:rsidRPr="006C6C95" w:rsidRDefault="006C6C95" w:rsidP="006C6C95">
    <w:pPr>
      <w:rPr>
        <w:sz w:val="18"/>
        <w:szCs w:val="18"/>
      </w:rPr>
    </w:pPr>
  </w:p>
  <w:p w14:paraId="656B931E" w14:textId="77777777" w:rsidR="006C6C95" w:rsidRPr="006C6C95" w:rsidRDefault="006C6C95" w:rsidP="006C6C95">
    <w:pPr>
      <w:rPr>
        <w:sz w:val="18"/>
        <w:szCs w:val="18"/>
      </w:rPr>
    </w:pPr>
    <w:r w:rsidRPr="006C6C95">
      <w:rPr>
        <w:sz w:val="18"/>
        <w:szCs w:val="18"/>
      </w:rPr>
      <w:t xml:space="preserve">Further information about how the Law Society handles information including personal information is set out in the Law Society’s Information Handling Policy, which can be viewed at </w:t>
    </w:r>
    <w:hyperlink r:id="rId1" w:history="1">
      <w:r w:rsidRPr="006C6C95">
        <w:rPr>
          <w:rStyle w:val="Hyperlink"/>
          <w:sz w:val="18"/>
          <w:szCs w:val="18"/>
        </w:rPr>
        <w:t>lawsociety.org.nz/privacy</w:t>
      </w:r>
    </w:hyperlink>
    <w:r w:rsidRPr="006C6C95">
      <w:rPr>
        <w:sz w:val="18"/>
        <w:szCs w:val="18"/>
      </w:rPr>
      <w:t xml:space="preserve">. This Policy also contains information about your right to access and seek correction of your personal information. Please read the Policy before completing this form. If you have any queries about the Information Handling Policy, please email our Privacy Officer at </w:t>
    </w:r>
    <w:hyperlink r:id="rId2" w:history="1">
      <w:r w:rsidRPr="006C6C95">
        <w:rPr>
          <w:rStyle w:val="Hyperlink"/>
          <w:sz w:val="18"/>
          <w:szCs w:val="18"/>
        </w:rPr>
        <w:t>privacy@lawsociety.org.nz</w:t>
      </w:r>
    </w:hyperlink>
    <w:r w:rsidRPr="006C6C95">
      <w:rPr>
        <w:sz w:val="18"/>
        <w:szCs w:val="18"/>
      </w:rPr>
      <w:t>.</w:t>
    </w:r>
  </w:p>
  <w:p w14:paraId="4A37B795" w14:textId="77777777" w:rsidR="006C6C95" w:rsidRPr="006C6C95" w:rsidRDefault="006C6C95" w:rsidP="006C6C9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6E17" w14:textId="77777777" w:rsidR="00F40F90" w:rsidRDefault="00F40F90" w:rsidP="009071FD">
      <w:r>
        <w:separator/>
      </w:r>
    </w:p>
  </w:footnote>
  <w:footnote w:type="continuationSeparator" w:id="0">
    <w:p w14:paraId="5439C6A7" w14:textId="77777777" w:rsidR="00F40F90" w:rsidRDefault="00F40F90" w:rsidP="009071FD">
      <w:r>
        <w:continuationSeparator/>
      </w:r>
    </w:p>
  </w:footnote>
  <w:footnote w:id="1">
    <w:p w14:paraId="41710B25" w14:textId="77777777" w:rsidR="006919EE" w:rsidRDefault="006919EE" w:rsidP="006919EE">
      <w:pPr>
        <w:pStyle w:val="FootnoteText"/>
      </w:pPr>
      <w:r>
        <w:rPr>
          <w:rStyle w:val="FootnoteReference"/>
        </w:rPr>
        <w:footnoteRef/>
      </w:r>
      <w:r>
        <w:t xml:space="preserve"> </w:t>
      </w:r>
      <w:r>
        <w:tab/>
        <w:t>As revised from 1 July 2012, unless otherwise specified.</w:t>
      </w:r>
    </w:p>
  </w:footnote>
  <w:footnote w:id="2">
    <w:p w14:paraId="28C56136" w14:textId="77777777" w:rsidR="006919EE" w:rsidRDefault="006919EE" w:rsidP="006919EE">
      <w:pPr>
        <w:pStyle w:val="FootnoteText"/>
      </w:pPr>
      <w:r>
        <w:rPr>
          <w:rStyle w:val="FootnoteReference"/>
        </w:rPr>
        <w:footnoteRef/>
      </w:r>
      <w:r>
        <w:t xml:space="preserve"> </w:t>
      </w:r>
      <w:r>
        <w:tab/>
        <w:t>Lawyers and Conveyancers Act 2006, ss 49–55 [LCA].</w:t>
      </w:r>
    </w:p>
  </w:footnote>
  <w:footnote w:id="3">
    <w:p w14:paraId="372F1522" w14:textId="77777777" w:rsidR="006919EE" w:rsidRDefault="006919EE" w:rsidP="006919EE">
      <w:pPr>
        <w:pStyle w:val="FootnoteText"/>
      </w:pPr>
      <w:r>
        <w:rPr>
          <w:rStyle w:val="FootnoteReference"/>
        </w:rPr>
        <w:footnoteRef/>
      </w:r>
      <w:r>
        <w:t xml:space="preserve"> </w:t>
      </w:r>
      <w:r>
        <w:tab/>
        <w:t>LCA, ss 39–42; Lawyers and Conveyancers Act (Lawyers: Practice Rules) Regulations 2008, regs 4–9.</w:t>
      </w:r>
    </w:p>
  </w:footnote>
  <w:footnote w:id="4">
    <w:p w14:paraId="244A7BE4" w14:textId="77777777" w:rsidR="006919EE" w:rsidRDefault="006919EE" w:rsidP="006919EE">
      <w:pPr>
        <w:pStyle w:val="FootnoteText"/>
      </w:pPr>
      <w:r>
        <w:rPr>
          <w:rStyle w:val="FootnoteReference"/>
        </w:rPr>
        <w:footnoteRef/>
      </w:r>
      <w:r>
        <w:t xml:space="preserve"> </w:t>
      </w:r>
      <w:r>
        <w:tab/>
        <w:t>LCA, s 317.</w:t>
      </w:r>
    </w:p>
  </w:footnote>
  <w:footnote w:id="5">
    <w:p w14:paraId="587F98B1" w14:textId="77777777" w:rsidR="006919EE" w:rsidRDefault="006919EE" w:rsidP="006919EE">
      <w:pPr>
        <w:pStyle w:val="FootnoteText"/>
      </w:pPr>
      <w:r>
        <w:rPr>
          <w:rStyle w:val="FootnoteReference"/>
        </w:rPr>
        <w:footnoteRef/>
      </w:r>
      <w:r>
        <w:t xml:space="preserve"> </w:t>
      </w:r>
      <w:r>
        <w:tab/>
        <w:t>Lawyers and Conveyancers Act (Lawyers: Conduct and Client Care) Rules 2008, r 14.7.2; and Board Resolution (5 June 2015).</w:t>
      </w:r>
    </w:p>
  </w:footnote>
  <w:footnote w:id="6">
    <w:p w14:paraId="3211A75A" w14:textId="77777777" w:rsidR="006919EE" w:rsidRDefault="006919EE" w:rsidP="006919EE">
      <w:pPr>
        <w:pStyle w:val="FootnoteText"/>
      </w:pPr>
      <w:r>
        <w:rPr>
          <w:rStyle w:val="FootnoteReference"/>
        </w:rPr>
        <w:footnoteRef/>
      </w:r>
      <w:r>
        <w:t xml:space="preserve"> </w:t>
      </w:r>
      <w:r>
        <w:tab/>
        <w:t>LCA, s 44 and sch 1; and Board Resolution (14 June 2013).</w:t>
      </w:r>
    </w:p>
  </w:footnote>
  <w:footnote w:id="7">
    <w:p w14:paraId="6A4DF47F" w14:textId="77777777" w:rsidR="006919EE" w:rsidRDefault="006919EE" w:rsidP="006919EE">
      <w:pPr>
        <w:pStyle w:val="FootnoteText"/>
      </w:pPr>
      <w:r>
        <w:rPr>
          <w:rStyle w:val="FootnoteReference"/>
        </w:rPr>
        <w:footnoteRef/>
      </w:r>
      <w:r>
        <w:t xml:space="preserve"> </w:t>
      </w:r>
      <w:r>
        <w:tab/>
        <w:t>LCA, s 31(3) determining what constitutes “adequate instruction”; and Board Resolution (6 May 2014).</w:t>
      </w:r>
    </w:p>
  </w:footnote>
  <w:footnote w:id="8">
    <w:p w14:paraId="4BA98CF2" w14:textId="77777777" w:rsidR="006919EE" w:rsidRDefault="006919EE" w:rsidP="006919EE">
      <w:pPr>
        <w:pStyle w:val="FootnoteText"/>
      </w:pPr>
      <w:r>
        <w:rPr>
          <w:rStyle w:val="FootnoteReference"/>
        </w:rPr>
        <w:footnoteRef/>
      </w:r>
      <w:r>
        <w:t xml:space="preserve"> </w:t>
      </w:r>
      <w:r>
        <w:tab/>
        <w:t>Board Resolution (13 June 2014).</w:t>
      </w:r>
    </w:p>
  </w:footnote>
  <w:footnote w:id="9">
    <w:p w14:paraId="4290ED77" w14:textId="77777777" w:rsidR="006919EE" w:rsidRDefault="006919EE" w:rsidP="006919EE">
      <w:pPr>
        <w:pStyle w:val="FootnoteText"/>
      </w:pPr>
      <w:r>
        <w:rPr>
          <w:rStyle w:val="FootnoteReference"/>
        </w:rPr>
        <w:footnoteRef/>
      </w:r>
      <w:r>
        <w:t xml:space="preserve"> </w:t>
      </w:r>
      <w:r>
        <w:tab/>
        <w:t>LCA, s 248.</w:t>
      </w:r>
    </w:p>
  </w:footnote>
  <w:footnote w:id="10">
    <w:p w14:paraId="4CF2C7FE" w14:textId="77777777" w:rsidR="006919EE" w:rsidRDefault="006919EE" w:rsidP="006919EE">
      <w:pPr>
        <w:pStyle w:val="FootnoteText"/>
      </w:pPr>
      <w:r>
        <w:rPr>
          <w:rStyle w:val="FootnoteReference"/>
        </w:rPr>
        <w:footnoteRef/>
      </w:r>
      <w:r>
        <w:t xml:space="preserve"> </w:t>
      </w:r>
      <w:r>
        <w:tab/>
        <w:t>LCA, s 246.</w:t>
      </w:r>
    </w:p>
  </w:footnote>
  <w:footnote w:id="11">
    <w:p w14:paraId="18EF4C58" w14:textId="77777777" w:rsidR="006919EE" w:rsidRDefault="006919EE" w:rsidP="006919EE">
      <w:pPr>
        <w:pStyle w:val="FootnoteText"/>
      </w:pPr>
      <w:r>
        <w:rPr>
          <w:rStyle w:val="FootnoteReference"/>
        </w:rPr>
        <w:footnoteRef/>
      </w:r>
      <w:r>
        <w:t xml:space="preserve"> </w:t>
      </w:r>
      <w:r>
        <w:tab/>
        <w:t>LCA, s 60(1).</w:t>
      </w:r>
    </w:p>
  </w:footnote>
  <w:footnote w:id="12">
    <w:p w14:paraId="2F50831E" w14:textId="77777777" w:rsidR="006919EE" w:rsidRDefault="006919EE" w:rsidP="006919EE">
      <w:pPr>
        <w:pStyle w:val="FootnoteText"/>
      </w:pPr>
      <w:r>
        <w:rPr>
          <w:rStyle w:val="FootnoteReference"/>
        </w:rPr>
        <w:footnoteRef/>
      </w:r>
      <w:r>
        <w:t xml:space="preserve"> </w:t>
      </w:r>
      <w:r>
        <w:tab/>
        <w:t>LCA, s 60(2).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67D4"/>
    <w:multiLevelType w:val="hybridMultilevel"/>
    <w:tmpl w:val="DF2EA0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1EB20D5"/>
    <w:multiLevelType w:val="hybridMultilevel"/>
    <w:tmpl w:val="F61E6076"/>
    <w:lvl w:ilvl="0" w:tplc="F790FA2E">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582357A"/>
    <w:multiLevelType w:val="hybridMultilevel"/>
    <w:tmpl w:val="88D00E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22D1BF4"/>
    <w:multiLevelType w:val="hybridMultilevel"/>
    <w:tmpl w:val="46D485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9D3A08"/>
    <w:multiLevelType w:val="hybridMultilevel"/>
    <w:tmpl w:val="1A48A1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95942030">
    <w:abstractNumId w:val="2"/>
  </w:num>
  <w:num w:numId="2" w16cid:durableId="410737472">
    <w:abstractNumId w:val="3"/>
  </w:num>
  <w:num w:numId="3" w16cid:durableId="1303122124">
    <w:abstractNumId w:val="0"/>
  </w:num>
  <w:num w:numId="4" w16cid:durableId="1031997762">
    <w:abstractNumId w:val="4"/>
  </w:num>
  <w:num w:numId="5" w16cid:durableId="7228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F3"/>
    <w:rsid w:val="000023EA"/>
    <w:rsid w:val="000039AB"/>
    <w:rsid w:val="00012A78"/>
    <w:rsid w:val="00066DBC"/>
    <w:rsid w:val="00080A90"/>
    <w:rsid w:val="0008533B"/>
    <w:rsid w:val="000D3F45"/>
    <w:rsid w:val="000D7A17"/>
    <w:rsid w:val="000E005A"/>
    <w:rsid w:val="00102657"/>
    <w:rsid w:val="0012270E"/>
    <w:rsid w:val="001432B8"/>
    <w:rsid w:val="0014343C"/>
    <w:rsid w:val="00146D16"/>
    <w:rsid w:val="001557F3"/>
    <w:rsid w:val="001745E0"/>
    <w:rsid w:val="001C239B"/>
    <w:rsid w:val="001D4A45"/>
    <w:rsid w:val="00233C3F"/>
    <w:rsid w:val="0023700F"/>
    <w:rsid w:val="002668F5"/>
    <w:rsid w:val="0029369C"/>
    <w:rsid w:val="002A5825"/>
    <w:rsid w:val="002D6A45"/>
    <w:rsid w:val="003100D8"/>
    <w:rsid w:val="00317EBA"/>
    <w:rsid w:val="0033176C"/>
    <w:rsid w:val="00346153"/>
    <w:rsid w:val="0037371D"/>
    <w:rsid w:val="00376E60"/>
    <w:rsid w:val="003B5A46"/>
    <w:rsid w:val="003B7E75"/>
    <w:rsid w:val="003C7F86"/>
    <w:rsid w:val="003E7082"/>
    <w:rsid w:val="004266D5"/>
    <w:rsid w:val="00467D7D"/>
    <w:rsid w:val="0047608D"/>
    <w:rsid w:val="004871CA"/>
    <w:rsid w:val="004963FD"/>
    <w:rsid w:val="004A68FE"/>
    <w:rsid w:val="004A7DED"/>
    <w:rsid w:val="004D1E2E"/>
    <w:rsid w:val="0050414C"/>
    <w:rsid w:val="0052575F"/>
    <w:rsid w:val="00542921"/>
    <w:rsid w:val="00544173"/>
    <w:rsid w:val="005841B9"/>
    <w:rsid w:val="00590639"/>
    <w:rsid w:val="005C0F10"/>
    <w:rsid w:val="00616861"/>
    <w:rsid w:val="006919EE"/>
    <w:rsid w:val="006A573A"/>
    <w:rsid w:val="006C6C95"/>
    <w:rsid w:val="007363B1"/>
    <w:rsid w:val="00755A84"/>
    <w:rsid w:val="00791D65"/>
    <w:rsid w:val="007C1AD1"/>
    <w:rsid w:val="007C7476"/>
    <w:rsid w:val="007D1292"/>
    <w:rsid w:val="007E3914"/>
    <w:rsid w:val="00806D38"/>
    <w:rsid w:val="0085702C"/>
    <w:rsid w:val="00877AF8"/>
    <w:rsid w:val="008A3C89"/>
    <w:rsid w:val="008C5CC3"/>
    <w:rsid w:val="008D667A"/>
    <w:rsid w:val="008F2060"/>
    <w:rsid w:val="009071FD"/>
    <w:rsid w:val="009127F7"/>
    <w:rsid w:val="00923BF4"/>
    <w:rsid w:val="009D1652"/>
    <w:rsid w:val="00A06756"/>
    <w:rsid w:val="00A06C60"/>
    <w:rsid w:val="00A67D5F"/>
    <w:rsid w:val="00A752F9"/>
    <w:rsid w:val="00A76AAE"/>
    <w:rsid w:val="00AB254B"/>
    <w:rsid w:val="00AB4F0F"/>
    <w:rsid w:val="00AC0EBA"/>
    <w:rsid w:val="00B24B64"/>
    <w:rsid w:val="00B97219"/>
    <w:rsid w:val="00BA0B4A"/>
    <w:rsid w:val="00C00143"/>
    <w:rsid w:val="00C15280"/>
    <w:rsid w:val="00C24C96"/>
    <w:rsid w:val="00C75CB5"/>
    <w:rsid w:val="00C96D2C"/>
    <w:rsid w:val="00CA3DC3"/>
    <w:rsid w:val="00CC7989"/>
    <w:rsid w:val="00CD7B99"/>
    <w:rsid w:val="00D41519"/>
    <w:rsid w:val="00D46D7C"/>
    <w:rsid w:val="00D7067E"/>
    <w:rsid w:val="00D924E2"/>
    <w:rsid w:val="00D929B4"/>
    <w:rsid w:val="00DB216C"/>
    <w:rsid w:val="00DD1550"/>
    <w:rsid w:val="00DD5F2D"/>
    <w:rsid w:val="00DE6B55"/>
    <w:rsid w:val="00DF74C5"/>
    <w:rsid w:val="00E92D14"/>
    <w:rsid w:val="00EB0B61"/>
    <w:rsid w:val="00EB0B8B"/>
    <w:rsid w:val="00EB4A56"/>
    <w:rsid w:val="00ED4863"/>
    <w:rsid w:val="00F40F90"/>
    <w:rsid w:val="00F70546"/>
    <w:rsid w:val="00F8289E"/>
    <w:rsid w:val="00F962D0"/>
    <w:rsid w:val="00F96E89"/>
    <w:rsid w:val="00FC38D7"/>
    <w:rsid w:val="00FD1A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86D52"/>
  <w15:chartTrackingRefBased/>
  <w15:docId w15:val="{77BF6B18-05E6-4780-8AA2-E1651419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65"/>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C5CC3"/>
    <w:pPr>
      <w:ind w:left="720" w:hanging="720"/>
      <w:jc w:val="left"/>
    </w:pPr>
    <w:rPr>
      <w:rFonts w:ascii="Calibri" w:hAnsi="Calibri"/>
      <w:sz w:val="18"/>
      <w:szCs w:val="20"/>
    </w:rPr>
  </w:style>
  <w:style w:type="character" w:customStyle="1" w:styleId="FootnoteTextChar">
    <w:name w:val="Footnote Text Char"/>
    <w:basedOn w:val="DefaultParagraphFont"/>
    <w:link w:val="FootnoteText"/>
    <w:uiPriority w:val="99"/>
    <w:rsid w:val="008C5CC3"/>
    <w:rPr>
      <w:rFonts w:ascii="Calibri" w:hAnsi="Calibri"/>
      <w:sz w:val="18"/>
      <w:szCs w:val="20"/>
    </w:rPr>
  </w:style>
  <w:style w:type="paragraph" w:styleId="ListParagraph">
    <w:name w:val="List Paragraph"/>
    <w:basedOn w:val="Normal"/>
    <w:uiPriority w:val="34"/>
    <w:qFormat/>
    <w:rsid w:val="00616861"/>
    <w:pPr>
      <w:ind w:left="720"/>
      <w:contextualSpacing/>
    </w:pPr>
  </w:style>
  <w:style w:type="character" w:styleId="Hyperlink">
    <w:name w:val="Hyperlink"/>
    <w:basedOn w:val="DefaultParagraphFont"/>
    <w:uiPriority w:val="99"/>
    <w:unhideWhenUsed/>
    <w:rsid w:val="00B24B64"/>
    <w:rPr>
      <w:color w:val="0563C1" w:themeColor="hyperlink"/>
      <w:u w:val="single"/>
    </w:rPr>
  </w:style>
  <w:style w:type="character" w:styleId="UnresolvedMention">
    <w:name w:val="Unresolved Mention"/>
    <w:basedOn w:val="DefaultParagraphFont"/>
    <w:uiPriority w:val="99"/>
    <w:semiHidden/>
    <w:unhideWhenUsed/>
    <w:rsid w:val="00B24B64"/>
    <w:rPr>
      <w:color w:val="605E5C"/>
      <w:shd w:val="clear" w:color="auto" w:fill="E1DFDD"/>
    </w:rPr>
  </w:style>
  <w:style w:type="character" w:styleId="FootnoteReference">
    <w:name w:val="footnote reference"/>
    <w:basedOn w:val="DefaultParagraphFont"/>
    <w:uiPriority w:val="99"/>
    <w:semiHidden/>
    <w:unhideWhenUsed/>
    <w:rsid w:val="009071FD"/>
    <w:rPr>
      <w:vertAlign w:val="superscript"/>
    </w:rPr>
  </w:style>
  <w:style w:type="paragraph" w:styleId="Header">
    <w:name w:val="header"/>
    <w:basedOn w:val="Normal"/>
    <w:link w:val="HeaderChar"/>
    <w:uiPriority w:val="99"/>
    <w:unhideWhenUsed/>
    <w:rsid w:val="00066DBC"/>
    <w:pPr>
      <w:tabs>
        <w:tab w:val="center" w:pos="4513"/>
        <w:tab w:val="right" w:pos="9026"/>
      </w:tabs>
    </w:pPr>
  </w:style>
  <w:style w:type="character" w:customStyle="1" w:styleId="HeaderChar">
    <w:name w:val="Header Char"/>
    <w:basedOn w:val="DefaultParagraphFont"/>
    <w:link w:val="Header"/>
    <w:uiPriority w:val="99"/>
    <w:rsid w:val="00066DBC"/>
  </w:style>
  <w:style w:type="paragraph" w:styleId="Footer">
    <w:name w:val="footer"/>
    <w:basedOn w:val="Normal"/>
    <w:link w:val="FooterChar"/>
    <w:uiPriority w:val="99"/>
    <w:unhideWhenUsed/>
    <w:rsid w:val="00066DBC"/>
    <w:pPr>
      <w:tabs>
        <w:tab w:val="center" w:pos="4513"/>
        <w:tab w:val="right" w:pos="9026"/>
      </w:tabs>
    </w:pPr>
  </w:style>
  <w:style w:type="character" w:customStyle="1" w:styleId="FooterChar">
    <w:name w:val="Footer Char"/>
    <w:basedOn w:val="DefaultParagraphFont"/>
    <w:link w:val="Footer"/>
    <w:uiPriority w:val="99"/>
    <w:rsid w:val="0006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privacy@lawsociety.org.nz" TargetMode="External"/><Relationship Id="rId1" Type="http://schemas.openxmlformats.org/officeDocument/2006/relationships/hyperlink" Target="https://www.lawsociety.org.nz/about-us/contact/privacy-copyright-and-disclaimer/information-handl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2d5df0-be7e-4df4-99e5-4847947ca0c6" xsi:nil="true"/>
    <lcf76f155ced4ddcb4097134ff3c332f xmlns="500f958d-47dc-4087-b4ea-b0942c4ecf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4ACC70DC6EA4EA75E1E5DF4DF13D9" ma:contentTypeVersion="15" ma:contentTypeDescription="Create a new document." ma:contentTypeScope="" ma:versionID="5f2cad6a54ed42d21e68c43ca143ce39">
  <xsd:schema xmlns:xsd="http://www.w3.org/2001/XMLSchema" xmlns:xs="http://www.w3.org/2001/XMLSchema" xmlns:p="http://schemas.microsoft.com/office/2006/metadata/properties" xmlns:ns2="be2d5df0-be7e-4df4-99e5-4847947ca0c6" xmlns:ns3="500f958d-47dc-4087-b4ea-b0942c4ecf16" targetNamespace="http://schemas.microsoft.com/office/2006/metadata/properties" ma:root="true" ma:fieldsID="5f9d914f57e491e98d8595736e8ca88a" ns2:_="" ns3:_="">
    <xsd:import namespace="be2d5df0-be7e-4df4-99e5-4847947ca0c6"/>
    <xsd:import namespace="500f958d-47dc-4087-b4ea-b0942c4ecf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d5df0-be7e-4df4-99e5-4847947ca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ba2317-2300-4eac-95b8-8100b315a699}" ma:internalName="TaxCatchAll" ma:showField="CatchAllData" ma:web="be2d5df0-be7e-4df4-99e5-4847947ca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0f958d-47dc-4087-b4ea-b0942c4ecf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f32828-d3ad-4d3a-8516-4f7aa86cae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41A58-5BB7-431D-8F8E-E07BA08CA0B4}">
  <ds:schemaRefs>
    <ds:schemaRef ds:uri="http://schemas.microsoft.com/office/2006/metadata/properties"/>
    <ds:schemaRef ds:uri="http://schemas.microsoft.com/office/infopath/2007/PartnerControls"/>
    <ds:schemaRef ds:uri="be2d5df0-be7e-4df4-99e5-4847947ca0c6"/>
    <ds:schemaRef ds:uri="500f958d-47dc-4087-b4ea-b0942c4ecf16"/>
  </ds:schemaRefs>
</ds:datastoreItem>
</file>

<file path=customXml/itemProps2.xml><?xml version="1.0" encoding="utf-8"?>
<ds:datastoreItem xmlns:ds="http://schemas.openxmlformats.org/officeDocument/2006/customXml" ds:itemID="{4BF0762B-F4AE-4A88-B945-A3A6C420BE38}">
  <ds:schemaRefs>
    <ds:schemaRef ds:uri="http://schemas.microsoft.com/sharepoint/v3/contenttype/forms"/>
  </ds:schemaRefs>
</ds:datastoreItem>
</file>

<file path=customXml/itemProps3.xml><?xml version="1.0" encoding="utf-8"?>
<ds:datastoreItem xmlns:ds="http://schemas.openxmlformats.org/officeDocument/2006/customXml" ds:itemID="{F6F80C9B-4F8B-4D24-983C-81B5F2AA4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d5df0-be7e-4df4-99e5-4847947ca0c6"/>
    <ds:schemaRef ds:uri="500f958d-47dc-4087-b4ea-b0942c4e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Bohinc</dc:creator>
  <cp:keywords/>
  <dc:description/>
  <cp:lastModifiedBy>Lauren Fee</cp:lastModifiedBy>
  <cp:revision>2</cp:revision>
  <dcterms:created xsi:type="dcterms:W3CDTF">2025-11-03T21:08:00Z</dcterms:created>
  <dcterms:modified xsi:type="dcterms:W3CDTF">2025-11-03T21:08:00Z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0x010100BEF4ACC70DC6EA4EA75E1E5DF4DF13D9</vt:lpwstr>
  </property>
  <property fmtid="{D5CDD505-2E9C-101B-9397-08002B2CF9AE}" pid="3" name="_ExtendedDescription">
    <vt:lpwstr/>
  </property>
  <property fmtid="{D5CDD505-2E9C-101B-9397-08002B2CF9AE}" pid="4" name="MediaServiceImageTags">
    <vt:lpwstr/>
  </property>
</Properties>
</file>