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9F" w:rsidRDefault="003D039F" w:rsidP="00016ACA"/>
    <w:p w:rsidR="00FD5E0A" w:rsidRDefault="00FD5E0A" w:rsidP="00016ACA"/>
    <w:p w:rsidR="00FD5E0A" w:rsidRDefault="00FD5E0A" w:rsidP="00016ACA"/>
    <w:p w:rsidR="00FD5E0A" w:rsidRDefault="00FD5E0A" w:rsidP="00016ACA"/>
    <w:p w:rsidR="00FD5E0A" w:rsidRDefault="00FD5E0A" w:rsidP="00016ACA"/>
    <w:p w:rsidR="00FD5E0A" w:rsidRDefault="00FD5E0A" w:rsidP="00016ACA"/>
    <w:p w:rsidR="00FD5E0A" w:rsidRDefault="00FD5E0A" w:rsidP="00016ACA"/>
    <w:p w:rsidR="00FD5E0A" w:rsidRDefault="00FD5E0A" w:rsidP="00016ACA"/>
    <w:p w:rsidR="00FD5E0A" w:rsidRDefault="00FD5E0A" w:rsidP="00016ACA"/>
    <w:p w:rsidR="00FD5E0A" w:rsidRDefault="00FD5E0A" w:rsidP="00016ACA"/>
    <w:p w:rsidR="00FD5E0A" w:rsidRDefault="00FD5E0A" w:rsidP="00016ACA"/>
    <w:p w:rsidR="00FD5E0A" w:rsidRDefault="00FD5E0A" w:rsidP="00016ACA"/>
    <w:p w:rsidR="00FD5E0A" w:rsidRDefault="00FD5E0A" w:rsidP="00016ACA"/>
    <w:p w:rsidR="00FD5E0A" w:rsidRDefault="00FD5E0A" w:rsidP="00FD5E0A">
      <w:pPr>
        <w:pStyle w:val="Heading1"/>
        <w:ind w:left="3545" w:firstLine="709"/>
      </w:pPr>
      <w:bookmarkStart w:id="0" w:name="_Hlk504058735"/>
      <w:r>
        <w:t>Risk Assessment</w:t>
      </w:r>
    </w:p>
    <w:p w:rsidR="00FD5E0A" w:rsidRDefault="00FD5E0A" w:rsidP="00FD5E0A">
      <w:pPr>
        <w:pStyle w:val="Heading2"/>
        <w:ind w:left="4254"/>
      </w:pPr>
      <w:r>
        <w:t>for the purposes of the Anti-Money Laundering and Countering Financing of Terrorism Act 2009</w:t>
      </w:r>
    </w:p>
    <w:bookmarkEnd w:id="0"/>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FD5E0A" w:rsidRDefault="00FD5E0A" w:rsidP="00FD5E0A">
      <w:pPr>
        <w:pStyle w:val="BodyText"/>
      </w:pPr>
    </w:p>
    <w:p w:rsidR="00656342" w:rsidRDefault="00656342" w:rsidP="00656342">
      <w:pPr>
        <w:pStyle w:val="xmsonormal"/>
        <w:rPr>
          <w:color w:val="000000"/>
          <w:sz w:val="18"/>
          <w:szCs w:val="18"/>
        </w:rPr>
      </w:pPr>
      <w:r>
        <w:rPr>
          <w:i/>
          <w:iCs/>
          <w:color w:val="000000"/>
          <w:sz w:val="18"/>
          <w:szCs w:val="18"/>
          <w:lang w:val="en-NZ"/>
        </w:rPr>
        <w:t xml:space="preserve">This is a sample document only which has been produced for the New Zealand Law Society to assist lawyers with Anti- Money Laundering and Countering Financing of Terrorism Act 2009 (AML/CFT) compliance requirements. It is intended as a guide only and should be adapted to </w:t>
      </w:r>
      <w:proofErr w:type="gramStart"/>
      <w:r>
        <w:rPr>
          <w:i/>
          <w:iCs/>
          <w:color w:val="000000"/>
          <w:sz w:val="18"/>
          <w:szCs w:val="18"/>
          <w:lang w:val="en-NZ"/>
        </w:rPr>
        <w:t>take into account</w:t>
      </w:r>
      <w:proofErr w:type="gramEnd"/>
      <w:r>
        <w:rPr>
          <w:i/>
          <w:iCs/>
          <w:color w:val="000000"/>
          <w:sz w:val="18"/>
          <w:szCs w:val="18"/>
          <w:lang w:val="en-NZ"/>
        </w:rPr>
        <w:t xml:space="preserve"> a law firm’s particular circumstances including internal policies and procedures specific to the law firm. This sample document should not be relied on as definitive statement of AML/CFT legal requirements.  Law firms and lawyers must familiarise themselves with the relevant legal requirements and there is information available on the DIA’s website (</w:t>
      </w:r>
      <w:hyperlink r:id="rId9" w:history="1">
        <w:r>
          <w:rPr>
            <w:rStyle w:val="Hyperlink"/>
            <w:sz w:val="18"/>
            <w:szCs w:val="18"/>
            <w:lang w:val="en-NZ"/>
          </w:rPr>
          <w:t>https://www.dia.govt.nz/</w:t>
        </w:r>
      </w:hyperlink>
      <w:r w:rsidR="00E50FF2">
        <w:rPr>
          <w:i/>
          <w:iCs/>
          <w:color w:val="000000"/>
          <w:sz w:val="18"/>
          <w:szCs w:val="18"/>
          <w:lang w:val="en-NZ"/>
        </w:rPr>
        <w:t xml:space="preserve">) and </w:t>
      </w:r>
      <w:r w:rsidR="00E50FF2">
        <w:rPr>
          <w:i/>
          <w:iCs/>
          <w:color w:val="000000"/>
          <w:sz w:val="18"/>
          <w:szCs w:val="18"/>
        </w:rPr>
        <w:t>the Law Society’s website (</w:t>
      </w:r>
      <w:hyperlink r:id="rId10" w:history="1">
        <w:r w:rsidR="00E50FF2">
          <w:rPr>
            <w:rStyle w:val="Hyperlink"/>
            <w:sz w:val="18"/>
            <w:szCs w:val="18"/>
          </w:rPr>
          <w:t>https://www.lawsociety.org.nz/practice-resources/practice-areas/aml-cft</w:t>
        </w:r>
      </w:hyperlink>
      <w:r w:rsidR="00E50FF2">
        <w:rPr>
          <w:i/>
          <w:iCs/>
          <w:color w:val="000000"/>
          <w:sz w:val="18"/>
          <w:szCs w:val="18"/>
        </w:rPr>
        <w:t xml:space="preserve">) </w:t>
      </w:r>
      <w:r>
        <w:rPr>
          <w:i/>
          <w:iCs/>
          <w:color w:val="000000"/>
          <w:sz w:val="18"/>
          <w:szCs w:val="18"/>
          <w:lang w:val="en-NZ"/>
        </w:rPr>
        <w:t xml:space="preserve"> about this. If legal advice is required, it should be sought on a formal, professional basis.</w:t>
      </w:r>
      <w:bookmarkStart w:id="1" w:name="_GoBack"/>
      <w:bookmarkEnd w:id="1"/>
    </w:p>
    <w:p w:rsidR="00656342" w:rsidRDefault="00656342" w:rsidP="00656342">
      <w:pPr>
        <w:pStyle w:val="xmsonormal"/>
        <w:spacing w:after="120"/>
        <w:rPr>
          <w:color w:val="000000"/>
          <w:sz w:val="18"/>
          <w:szCs w:val="18"/>
        </w:rPr>
      </w:pPr>
      <w:r>
        <w:rPr>
          <w:color w:val="000000"/>
          <w:sz w:val="18"/>
          <w:szCs w:val="18"/>
          <w:lang w:val="en-NZ"/>
        </w:rPr>
        <w:t> </w:t>
      </w:r>
    </w:p>
    <w:p w:rsidR="00FD5E0A" w:rsidRDefault="00FD5E0A" w:rsidP="00FD5E0A">
      <w:pPr>
        <w:pStyle w:val="BodyText"/>
      </w:pPr>
    </w:p>
    <w:p w:rsidR="00390775" w:rsidRDefault="00390775" w:rsidP="00FD5E0A">
      <w:pPr>
        <w:pStyle w:val="BodyText"/>
      </w:pPr>
    </w:p>
    <w:p w:rsidR="00390775" w:rsidRDefault="00390775" w:rsidP="00FD5E0A">
      <w:pPr>
        <w:pStyle w:val="BodyText"/>
      </w:pPr>
    </w:p>
    <w:p w:rsidR="00FD5E0A" w:rsidRDefault="00FD5E0A" w:rsidP="00FD5E0A">
      <w:pPr>
        <w:pStyle w:val="BodyText"/>
      </w:pPr>
    </w:p>
    <w:p w:rsidR="00FD5E0A" w:rsidRDefault="00D85A8A" w:rsidP="00A3175B">
      <w:pPr>
        <w:pStyle w:val="Outline1"/>
      </w:pPr>
      <w:r>
        <w:t>Introduction</w:t>
      </w:r>
    </w:p>
    <w:p w:rsidR="00FD5E0A" w:rsidRDefault="00304471" w:rsidP="00FD5E0A">
      <w:pPr>
        <w:pStyle w:val="Outline2"/>
      </w:pPr>
      <w:r>
        <w:t xml:space="preserve">This document </w:t>
      </w:r>
      <w:r w:rsidR="0019225A">
        <w:t>is</w:t>
      </w:r>
      <w:r>
        <w:t xml:space="preserve"> the Anti-Money Laundering (‘</w:t>
      </w:r>
      <w:r>
        <w:rPr>
          <w:b/>
        </w:rPr>
        <w:t>AML</w:t>
      </w:r>
      <w:r>
        <w:t>’) and Countering Financing of Terrorism (‘</w:t>
      </w:r>
      <w:r>
        <w:rPr>
          <w:b/>
        </w:rPr>
        <w:t>CFT</w:t>
      </w:r>
      <w:r>
        <w:t xml:space="preserve">’) risk assessment for </w:t>
      </w:r>
      <w:r w:rsidR="001C685C">
        <w:t>[</w:t>
      </w:r>
      <w:r w:rsidR="001C685C" w:rsidRPr="001C685C">
        <w:rPr>
          <w:highlight w:val="yellow"/>
        </w:rPr>
        <w:t>NAME OF LAW FIRM</w:t>
      </w:r>
      <w:r w:rsidR="001C685C">
        <w:t>]</w:t>
      </w:r>
      <w:r w:rsidR="0019225A" w:rsidRPr="0019225A">
        <w:t xml:space="preserve"> </w:t>
      </w:r>
      <w:r w:rsidR="0019225A">
        <w:t>(the ‘</w:t>
      </w:r>
      <w:r w:rsidR="0019225A">
        <w:rPr>
          <w:b/>
        </w:rPr>
        <w:t>Firm</w:t>
      </w:r>
      <w:r w:rsidR="0019225A">
        <w:t>’)</w:t>
      </w:r>
      <w:r>
        <w:t xml:space="preserve">. </w:t>
      </w:r>
      <w:r w:rsidR="001C685C">
        <w:t>[</w:t>
      </w:r>
      <w:r w:rsidR="001C685C" w:rsidRPr="001C685C">
        <w:rPr>
          <w:highlight w:val="yellow"/>
        </w:rPr>
        <w:t>NAME OF LAW FIRM</w:t>
      </w:r>
      <w:r w:rsidR="001C685C">
        <w:t>]</w:t>
      </w:r>
      <w:r>
        <w:t xml:space="preserve"> has offices in </w:t>
      </w:r>
      <w:r w:rsidR="001C685C">
        <w:t>[</w:t>
      </w:r>
      <w:r w:rsidR="001C685C" w:rsidRPr="001C685C">
        <w:rPr>
          <w:highlight w:val="yellow"/>
        </w:rPr>
        <w:t>LOCATION</w:t>
      </w:r>
      <w:r w:rsidR="001C685C">
        <w:t>]</w:t>
      </w:r>
      <w:r>
        <w:t xml:space="preserve">. </w:t>
      </w:r>
    </w:p>
    <w:p w:rsidR="00A74202" w:rsidRDefault="00A74202" w:rsidP="00FD5E0A">
      <w:pPr>
        <w:pStyle w:val="Outline2"/>
      </w:pPr>
      <w:r>
        <w:t>As a reporting entity under the AML and CFT Act 2009 (the ‘</w:t>
      </w:r>
      <w:r>
        <w:rPr>
          <w:b/>
        </w:rPr>
        <w:t>Act</w:t>
      </w:r>
      <w:r>
        <w:t xml:space="preserve">’), </w:t>
      </w:r>
      <w:r w:rsidR="0019225A">
        <w:t>the Firm</w:t>
      </w:r>
      <w:r>
        <w:t xml:space="preserve"> is required to undertake a</w:t>
      </w:r>
      <w:r w:rsidR="004332D4">
        <w:t>n assessment of the risks of money laundering (‘</w:t>
      </w:r>
      <w:r w:rsidR="004332D4">
        <w:rPr>
          <w:b/>
        </w:rPr>
        <w:t>ML</w:t>
      </w:r>
      <w:r w:rsidR="004332D4">
        <w:t>’) and terrorist financing (‘</w:t>
      </w:r>
      <w:r w:rsidR="004332D4">
        <w:rPr>
          <w:b/>
        </w:rPr>
        <w:t>TF</w:t>
      </w:r>
      <w:r w:rsidR="004332D4">
        <w:t>’)</w:t>
      </w:r>
      <w:r w:rsidR="00F318EA">
        <w:t xml:space="preserve"> in the provision of services. </w:t>
      </w:r>
    </w:p>
    <w:p w:rsidR="00304471" w:rsidRDefault="00304471" w:rsidP="00FD5E0A">
      <w:pPr>
        <w:pStyle w:val="Outline2"/>
      </w:pPr>
      <w:r>
        <w:t>This risk assessment has been established based on the A</w:t>
      </w:r>
      <w:r w:rsidR="0019225A">
        <w:t>nti-</w:t>
      </w:r>
      <w:r>
        <w:t>M</w:t>
      </w:r>
      <w:r w:rsidR="0019225A">
        <w:t xml:space="preserve">oney </w:t>
      </w:r>
      <w:r>
        <w:t>L</w:t>
      </w:r>
      <w:r w:rsidR="0019225A">
        <w:t>aundering</w:t>
      </w:r>
      <w:r>
        <w:t xml:space="preserve"> and C</w:t>
      </w:r>
      <w:r w:rsidR="0019225A">
        <w:t xml:space="preserve">ountering </w:t>
      </w:r>
      <w:r>
        <w:t>F</w:t>
      </w:r>
      <w:r w:rsidR="0019225A">
        <w:t xml:space="preserve">inancing of </w:t>
      </w:r>
      <w:r>
        <w:t>T</w:t>
      </w:r>
      <w:r w:rsidR="0019225A">
        <w:t>errorism</w:t>
      </w:r>
      <w:r>
        <w:t xml:space="preserve"> Act 2009 (the ‘</w:t>
      </w:r>
      <w:r>
        <w:rPr>
          <w:b/>
        </w:rPr>
        <w:t>Act</w:t>
      </w:r>
      <w:r>
        <w:t>’).</w:t>
      </w:r>
    </w:p>
    <w:p w:rsidR="00304471" w:rsidRDefault="0019225A" w:rsidP="00FD5E0A">
      <w:pPr>
        <w:pStyle w:val="Outline2"/>
      </w:pPr>
      <w:r>
        <w:t>The Firm</w:t>
      </w:r>
      <w:r w:rsidR="00304471">
        <w:t xml:space="preserve"> does not permit the use its services for </w:t>
      </w:r>
      <w:r w:rsidR="004332D4">
        <w:t>ML and TF</w:t>
      </w:r>
      <w:r w:rsidR="00304471">
        <w:t xml:space="preserve"> purposes and this risk assessment seeks to identify the </w:t>
      </w:r>
      <w:r w:rsidR="00CF0C33">
        <w:t xml:space="preserve">level of ML/TF risk within </w:t>
      </w:r>
      <w:r>
        <w:t xml:space="preserve">the </w:t>
      </w:r>
      <w:r w:rsidR="00CF0C33">
        <w:t>F</w:t>
      </w:r>
      <w:r w:rsidR="00304471">
        <w:t>irm.</w:t>
      </w:r>
    </w:p>
    <w:p w:rsidR="00D85A8A" w:rsidRDefault="00D85A8A" w:rsidP="00D85A8A">
      <w:pPr>
        <w:pStyle w:val="Outline2"/>
      </w:pPr>
      <w:r>
        <w:t>At the date of this document</w:t>
      </w:r>
      <w:r w:rsidR="00565E0B">
        <w:rPr>
          <w:rStyle w:val="FootnoteReference"/>
        </w:rPr>
        <w:footnoteReference w:id="1"/>
      </w:r>
      <w:r>
        <w:t xml:space="preserve">: </w:t>
      </w:r>
    </w:p>
    <w:p w:rsidR="00D85A8A" w:rsidRDefault="00D85A8A" w:rsidP="00D85A8A">
      <w:pPr>
        <w:pStyle w:val="Outline3"/>
      </w:pPr>
      <w:r>
        <w:t>The Money Laundering Compliance Officer of the Firm is [</w:t>
      </w:r>
      <w:r w:rsidRPr="004A1596">
        <w:t>●</w:t>
      </w:r>
      <w:r>
        <w:t>].</w:t>
      </w:r>
    </w:p>
    <w:p w:rsidR="00D85A8A" w:rsidRDefault="00D85A8A" w:rsidP="00D85A8A">
      <w:pPr>
        <w:pStyle w:val="Outline3"/>
      </w:pPr>
      <w:r>
        <w:t>The Money Laundering Reporting Officer of the Firm is [</w:t>
      </w:r>
      <w:r w:rsidRPr="004A1596">
        <w:t>●</w:t>
      </w:r>
      <w:r>
        <w:t>].</w:t>
      </w:r>
    </w:p>
    <w:p w:rsidR="00304471" w:rsidRDefault="00304471" w:rsidP="00FD5E0A">
      <w:pPr>
        <w:pStyle w:val="Outline1"/>
      </w:pPr>
      <w:r>
        <w:t>Scope</w:t>
      </w:r>
    </w:p>
    <w:p w:rsidR="00304471" w:rsidRPr="00304471" w:rsidRDefault="00304471" w:rsidP="00926329">
      <w:pPr>
        <w:pStyle w:val="Outline2"/>
        <w:numPr>
          <w:ilvl w:val="0"/>
          <w:numId w:val="0"/>
        </w:numPr>
        <w:ind w:left="709"/>
      </w:pPr>
      <w:r>
        <w:t xml:space="preserve">The contents of this risk assessment apply to all </w:t>
      </w:r>
      <w:r w:rsidR="001C685C">
        <w:t>partners</w:t>
      </w:r>
      <w:r w:rsidR="0019225A">
        <w:t xml:space="preserve"> and</w:t>
      </w:r>
      <w:r w:rsidR="001C685C">
        <w:t xml:space="preserve"> </w:t>
      </w:r>
      <w:r>
        <w:t xml:space="preserve">employees of </w:t>
      </w:r>
      <w:r w:rsidR="0019225A">
        <w:t>the Firm and all activities carried out by the Firm in the ordinary course of its business</w:t>
      </w:r>
      <w:r>
        <w:t xml:space="preserve">. </w:t>
      </w:r>
    </w:p>
    <w:p w:rsidR="00304471" w:rsidRDefault="00D85A8A" w:rsidP="00FD5E0A">
      <w:pPr>
        <w:pStyle w:val="Outline1"/>
      </w:pPr>
      <w:r>
        <w:t>Money laundering and terrorism financing</w:t>
      </w:r>
    </w:p>
    <w:p w:rsidR="00304471" w:rsidRDefault="00304471" w:rsidP="00304471">
      <w:pPr>
        <w:pStyle w:val="Outline2"/>
      </w:pPr>
      <w:r>
        <w:t xml:space="preserve">ML is the process by which criminals attempt to conceal the true origin of the proceeds of their criminal activities. This is typically achieved by placing the proceeds of crime into the financial system, by creating complex layers of financial transactions to disguise the provenance of the funds, and then integrating the laundered funds into the legitimate economy. </w:t>
      </w:r>
    </w:p>
    <w:p w:rsidR="00304471" w:rsidRDefault="00304471" w:rsidP="00304471">
      <w:pPr>
        <w:pStyle w:val="Outline2"/>
      </w:pPr>
      <w:r>
        <w:t xml:space="preserve">TF relates to activities that provide capital to fuel individual terrorists or terrorist groups. These activities may involve drug trafficking, human trafficking, theft, graft, robbery and fraud. They may even involve philanthropy or charitable giving. </w:t>
      </w:r>
    </w:p>
    <w:p w:rsidR="00304471" w:rsidRPr="00304471" w:rsidRDefault="00304471" w:rsidP="00304471">
      <w:pPr>
        <w:pStyle w:val="Outline2"/>
      </w:pPr>
      <w:r>
        <w:t xml:space="preserve">ML and TF involve similar processes and functionaries and are predicated on criminals moving funds across borders or within the financial sector to further their objectives. </w:t>
      </w:r>
    </w:p>
    <w:p w:rsidR="00F318EA" w:rsidRDefault="00F318EA" w:rsidP="00FD5E0A">
      <w:pPr>
        <w:pStyle w:val="Outline1"/>
      </w:pPr>
      <w:r>
        <w:t>Legal obligations</w:t>
      </w:r>
      <w:r w:rsidR="00D85A8A">
        <w:t xml:space="preserve"> under the Act</w:t>
      </w:r>
    </w:p>
    <w:p w:rsidR="00F318EA" w:rsidRDefault="007564EE" w:rsidP="00F318EA">
      <w:pPr>
        <w:pStyle w:val="Outline2"/>
      </w:pPr>
      <w:r>
        <w:t>The purposes of the Act are to:</w:t>
      </w:r>
    </w:p>
    <w:p w:rsidR="007564EE" w:rsidRDefault="007564EE" w:rsidP="007564EE">
      <w:pPr>
        <w:pStyle w:val="Outline3"/>
      </w:pPr>
      <w:r>
        <w:lastRenderedPageBreak/>
        <w:t>Detect and deter ML/TF; and</w:t>
      </w:r>
    </w:p>
    <w:p w:rsidR="007564EE" w:rsidRDefault="007564EE" w:rsidP="007564EE">
      <w:pPr>
        <w:pStyle w:val="Outline3"/>
      </w:pPr>
      <w:r>
        <w:t>Maintain and enhance New Zealand’s international reputation by adopting, where appropriate in the New Zealand context, recommendations issued by the Financial Action Task Force (</w:t>
      </w:r>
      <w:r w:rsidR="00FC1F4B">
        <w:t>‘</w:t>
      </w:r>
      <w:r w:rsidRPr="00FC1F4B">
        <w:rPr>
          <w:b/>
        </w:rPr>
        <w:t>FATF</w:t>
      </w:r>
      <w:r w:rsidR="00FC1F4B">
        <w:t>’</w:t>
      </w:r>
      <w:r>
        <w:t>); and</w:t>
      </w:r>
    </w:p>
    <w:p w:rsidR="007564EE" w:rsidRDefault="007564EE" w:rsidP="007564EE">
      <w:pPr>
        <w:pStyle w:val="Outline3"/>
      </w:pPr>
      <w:r>
        <w:t xml:space="preserve">Contribute to public confidence in the financial system. </w:t>
      </w:r>
    </w:p>
    <w:p w:rsidR="002A79FA" w:rsidRDefault="002A79FA" w:rsidP="002A79FA">
      <w:pPr>
        <w:pStyle w:val="Outline2"/>
      </w:pPr>
      <w:r>
        <w:t xml:space="preserve">Section 58 of the Act requires the Firm to consider the following </w:t>
      </w:r>
      <w:r w:rsidR="0019225A">
        <w:t xml:space="preserve">matters </w:t>
      </w:r>
      <w:r>
        <w:t>when conducting its risk assessment:</w:t>
      </w:r>
    </w:p>
    <w:p w:rsidR="002A79FA" w:rsidRPr="00BF2541" w:rsidRDefault="002A79FA" w:rsidP="002A79FA">
      <w:pPr>
        <w:pStyle w:val="Outline3"/>
      </w:pPr>
      <w:r w:rsidRPr="00BF2541">
        <w:t xml:space="preserve">The </w:t>
      </w:r>
      <w:r w:rsidRPr="009C0610">
        <w:t>nature, size and complexity</w:t>
      </w:r>
      <w:r w:rsidRPr="00BF2541">
        <w:t xml:space="preserve"> of the Firm’s business;</w:t>
      </w:r>
    </w:p>
    <w:p w:rsidR="002A79FA" w:rsidRPr="00BF2541" w:rsidRDefault="002A79FA" w:rsidP="002A79FA">
      <w:pPr>
        <w:pStyle w:val="Outline3"/>
      </w:pPr>
      <w:r w:rsidRPr="00BF2541">
        <w:t xml:space="preserve">The </w:t>
      </w:r>
      <w:r w:rsidRPr="009C0610">
        <w:t>services</w:t>
      </w:r>
      <w:r w:rsidRPr="00BF2541">
        <w:t xml:space="preserve"> the Firm offers;</w:t>
      </w:r>
    </w:p>
    <w:p w:rsidR="002A79FA" w:rsidRPr="00BF2541" w:rsidRDefault="002A79FA" w:rsidP="002A79FA">
      <w:pPr>
        <w:pStyle w:val="Outline3"/>
      </w:pPr>
      <w:r w:rsidRPr="00BF2541">
        <w:t xml:space="preserve">The way the Firm </w:t>
      </w:r>
      <w:r w:rsidRPr="009C0610">
        <w:t>delivers</w:t>
      </w:r>
      <w:r w:rsidRPr="00BF2541">
        <w:t xml:space="preserve"> its services;</w:t>
      </w:r>
    </w:p>
    <w:p w:rsidR="002A79FA" w:rsidRPr="00BF2541" w:rsidRDefault="002A79FA" w:rsidP="002A79FA">
      <w:pPr>
        <w:pStyle w:val="Outline3"/>
      </w:pPr>
      <w:r w:rsidRPr="00BF2541">
        <w:t xml:space="preserve">The </w:t>
      </w:r>
      <w:r w:rsidRPr="009C0610">
        <w:t>types of customers</w:t>
      </w:r>
      <w:r w:rsidRPr="00BF2541">
        <w:t xml:space="preserve"> the Firm deals with;</w:t>
      </w:r>
    </w:p>
    <w:p w:rsidR="002A79FA" w:rsidRPr="00BF2541" w:rsidRDefault="002A79FA" w:rsidP="002A79FA">
      <w:pPr>
        <w:pStyle w:val="Outline3"/>
      </w:pPr>
      <w:r w:rsidRPr="00BF2541">
        <w:t xml:space="preserve">The </w:t>
      </w:r>
      <w:r w:rsidRPr="009C0610">
        <w:t>countries</w:t>
      </w:r>
      <w:r w:rsidRPr="00BF2541">
        <w:t xml:space="preserve"> that the Firm deals with; and</w:t>
      </w:r>
    </w:p>
    <w:p w:rsidR="002A79FA" w:rsidRPr="00BF2541" w:rsidRDefault="002A79FA" w:rsidP="002A79FA">
      <w:pPr>
        <w:pStyle w:val="Outline3"/>
      </w:pPr>
      <w:r w:rsidRPr="00BF2541">
        <w:t xml:space="preserve">The </w:t>
      </w:r>
      <w:r w:rsidRPr="009C0610">
        <w:t>institutions</w:t>
      </w:r>
      <w:r w:rsidRPr="00BF2541">
        <w:t xml:space="preserve"> that the Firm deals with. </w:t>
      </w:r>
    </w:p>
    <w:p w:rsidR="002A79FA" w:rsidRDefault="002A79FA" w:rsidP="00FD5E0A">
      <w:pPr>
        <w:pStyle w:val="Outline1"/>
      </w:pPr>
      <w:r>
        <w:t>Nature, size and complexity of the Firm’s business</w:t>
      </w:r>
    </w:p>
    <w:p w:rsidR="00146DF7" w:rsidRDefault="00146DF7" w:rsidP="00146DF7">
      <w:pPr>
        <w:pStyle w:val="Outline2"/>
      </w:pPr>
      <w:r>
        <w:t xml:space="preserve">As a general proposition, a large law firm is less likely to know its clients personally, and could therefore offer </w:t>
      </w:r>
      <w:proofErr w:type="gramStart"/>
      <w:r>
        <w:t>a greater degree of</w:t>
      </w:r>
      <w:proofErr w:type="gramEnd"/>
      <w:r>
        <w:t xml:space="preserve"> anonymity </w:t>
      </w:r>
      <w:r w:rsidR="0019225A">
        <w:t xml:space="preserve">for money launderers </w:t>
      </w:r>
      <w:r>
        <w:t xml:space="preserve">than a small law firm. </w:t>
      </w:r>
    </w:p>
    <w:p w:rsidR="00416C6F" w:rsidRPr="00146DF7" w:rsidRDefault="00416C6F" w:rsidP="00146DF7">
      <w:pPr>
        <w:pStyle w:val="Outline2"/>
      </w:pPr>
      <w:r>
        <w:t xml:space="preserve">Additionally, a law firm that conducts complex transactions across international jurisdictions </w:t>
      </w:r>
      <w:r w:rsidR="0019225A">
        <w:t xml:space="preserve">may be able to </w:t>
      </w:r>
      <w:r>
        <w:t xml:space="preserve">offer greater opportunities to money launderers than a law firm operating regionally, or domestically. </w:t>
      </w:r>
    </w:p>
    <w:p w:rsidR="00FD5E0A" w:rsidRDefault="002A79FA" w:rsidP="00FD5E0A">
      <w:pPr>
        <w:pStyle w:val="Outline1"/>
      </w:pPr>
      <w:r>
        <w:t>The services the Firm offers</w:t>
      </w:r>
    </w:p>
    <w:p w:rsidR="00FD5E0A" w:rsidRDefault="00896825" w:rsidP="00FD5E0A">
      <w:pPr>
        <w:pStyle w:val="Outline2"/>
      </w:pPr>
      <w:r>
        <w:t>C</w:t>
      </w:r>
      <w:r w:rsidR="00FD5E0A">
        <w:t xml:space="preserve">ertain areas of the law and associated services provide opportunities to facilitate </w:t>
      </w:r>
      <w:r w:rsidR="007961B5">
        <w:t>ML and TF. For example:</w:t>
      </w:r>
    </w:p>
    <w:p w:rsidR="007961B5" w:rsidRDefault="007961B5" w:rsidP="007961B5">
      <w:pPr>
        <w:pStyle w:val="Outline3"/>
      </w:pPr>
      <w:r>
        <w:t>Complicated comm</w:t>
      </w:r>
      <w:r w:rsidR="00A60E1A">
        <w:t>ercial or property transactions.</w:t>
      </w:r>
    </w:p>
    <w:p w:rsidR="007961B5" w:rsidRDefault="007961B5" w:rsidP="007961B5">
      <w:pPr>
        <w:pStyle w:val="Outline3"/>
      </w:pPr>
      <w:r>
        <w:t>The establishment of trusts or corporate structures (which could have an ulterior motive such as obscuring the property identity of t</w:t>
      </w:r>
      <w:r w:rsidR="00A60E1A">
        <w:t>he owner</w:t>
      </w:r>
      <w:r w:rsidR="0043680B">
        <w:t>/beneficiary</w:t>
      </w:r>
      <w:r w:rsidR="00A60E1A">
        <w:t xml:space="preserve"> of property).</w:t>
      </w:r>
    </w:p>
    <w:p w:rsidR="007961B5" w:rsidRDefault="007961B5" w:rsidP="007961B5">
      <w:pPr>
        <w:pStyle w:val="Outline3"/>
      </w:pPr>
      <w:r>
        <w:t>Payments that are made to, or received from, third parties who are not obviously</w:t>
      </w:r>
      <w:r w:rsidR="00A60E1A">
        <w:t xml:space="preserve"> connected with any transaction.</w:t>
      </w:r>
    </w:p>
    <w:p w:rsidR="007961B5" w:rsidRDefault="00896825" w:rsidP="00896825">
      <w:pPr>
        <w:pStyle w:val="Outline3"/>
      </w:pPr>
      <w:r>
        <w:t>Transactions</w:t>
      </w:r>
      <w:r w:rsidR="00154F91">
        <w:t xml:space="preserve"> involving </w:t>
      </w:r>
      <w:r>
        <w:t>c</w:t>
      </w:r>
      <w:r w:rsidR="00A60E1A">
        <w:t>ash payments</w:t>
      </w:r>
      <w:r w:rsidR="00154F91">
        <w:t xml:space="preserve">. </w:t>
      </w:r>
    </w:p>
    <w:p w:rsidR="00896825" w:rsidRDefault="00154F91" w:rsidP="00154F91">
      <w:pPr>
        <w:pStyle w:val="Outline3"/>
      </w:pPr>
      <w:r>
        <w:t>Transactions involving w</w:t>
      </w:r>
      <w:r w:rsidR="00416C6F">
        <w:t>ire transfers</w:t>
      </w:r>
      <w:r>
        <w:t xml:space="preserve">. </w:t>
      </w:r>
    </w:p>
    <w:p w:rsidR="00416C6F" w:rsidRDefault="00154F91" w:rsidP="00154F91">
      <w:pPr>
        <w:pStyle w:val="Outline3"/>
      </w:pPr>
      <w:r>
        <w:t xml:space="preserve">Transactions involving </w:t>
      </w:r>
      <w:r w:rsidR="00896825">
        <w:t>inter-company loans</w:t>
      </w:r>
      <w:r>
        <w:t>.</w:t>
      </w:r>
    </w:p>
    <w:p w:rsidR="00896825" w:rsidRDefault="00154F91" w:rsidP="00154F91">
      <w:pPr>
        <w:pStyle w:val="Outline3"/>
      </w:pPr>
      <w:r>
        <w:t xml:space="preserve">Transactions involving </w:t>
      </w:r>
      <w:r w:rsidR="00896825">
        <w:t>the purchase of valuable assets (for example, real estate)</w:t>
      </w:r>
      <w:r>
        <w:t>:</w:t>
      </w:r>
    </w:p>
    <w:p w:rsidR="00154F91" w:rsidRDefault="00154F91" w:rsidP="00F551BE">
      <w:pPr>
        <w:pStyle w:val="Outline4"/>
        <w:numPr>
          <w:ilvl w:val="0"/>
          <w:numId w:val="0"/>
        </w:numPr>
        <w:ind w:left="1418"/>
      </w:pPr>
      <w:r>
        <w:t>Through this technique, criminal proceeds are invested in high-value negotiable goods taking advantage of reduced reporting requirements and obscuring the source of proceeds of crime.</w:t>
      </w:r>
    </w:p>
    <w:p w:rsidR="00416C6F" w:rsidRDefault="007961B5" w:rsidP="00EA02F0">
      <w:pPr>
        <w:pStyle w:val="Outline3"/>
      </w:pPr>
      <w:r>
        <w:lastRenderedPageBreak/>
        <w:t>C</w:t>
      </w:r>
      <w:r w:rsidR="00EA02F0">
        <w:t>ross-border transactions (including transactions which require involvement by offshore banks/businesses, including trust company service providers):</w:t>
      </w:r>
    </w:p>
    <w:p w:rsidR="00EA02F0" w:rsidRDefault="00EA02F0" w:rsidP="00F551BE">
      <w:pPr>
        <w:pStyle w:val="Outline4"/>
        <w:numPr>
          <w:ilvl w:val="0"/>
          <w:numId w:val="0"/>
        </w:numPr>
        <w:ind w:left="1418"/>
      </w:pPr>
      <w:r w:rsidRPr="00EA02F0">
        <w:t xml:space="preserve">This a technique used to obscure the identity of persons controlling funds and to move monies away from interdiction by domestic authorities. </w:t>
      </w:r>
    </w:p>
    <w:p w:rsidR="00154F91" w:rsidRDefault="00154F91" w:rsidP="00154F91">
      <w:pPr>
        <w:pStyle w:val="Outline3"/>
      </w:pPr>
      <w:r>
        <w:t>Transactions involving the use of shell companies /corporations:</w:t>
      </w:r>
    </w:p>
    <w:p w:rsidR="00154F91" w:rsidRDefault="00154F91" w:rsidP="00F551BE">
      <w:pPr>
        <w:pStyle w:val="Outline4"/>
        <w:numPr>
          <w:ilvl w:val="0"/>
          <w:numId w:val="0"/>
        </w:numPr>
        <w:ind w:left="1134" w:firstLine="284"/>
      </w:pPr>
      <w:r w:rsidRPr="00154F91">
        <w:t xml:space="preserve">This is a technique used to obscure the identity of persons controlling funds. </w:t>
      </w:r>
    </w:p>
    <w:p w:rsidR="00AB1490" w:rsidRDefault="00AB1490" w:rsidP="00416C6F">
      <w:pPr>
        <w:pStyle w:val="Outline3"/>
      </w:pPr>
      <w:r>
        <w:t xml:space="preserve">New or developing technologies, or products, that might favour anonymity. </w:t>
      </w:r>
    </w:p>
    <w:p w:rsidR="00154F91" w:rsidRDefault="00390775" w:rsidP="00154F91">
      <w:pPr>
        <w:pStyle w:val="Outline2"/>
      </w:pPr>
      <w:r>
        <w:t xml:space="preserve">The Firm </w:t>
      </w:r>
      <w:r w:rsidR="00154F91">
        <w:t xml:space="preserve">should be </w:t>
      </w:r>
      <w:r w:rsidR="00F551BE">
        <w:t>cautious about</w:t>
      </w:r>
      <w:r w:rsidR="00154F91">
        <w:t xml:space="preserve"> accepting instructions in niche areas in w</w:t>
      </w:r>
      <w:r w:rsidR="009116D9">
        <w:t>hich the Firm has no experience</w:t>
      </w:r>
      <w:r w:rsidR="00154F91">
        <w:t xml:space="preserve">. Taking on work which is outside the Firm’s area of expertise can present risk because ML and TF might use the Firm to avoid answering too many questions. </w:t>
      </w:r>
    </w:p>
    <w:p w:rsidR="00926329" w:rsidRDefault="00926329" w:rsidP="007961B5">
      <w:pPr>
        <w:pStyle w:val="Outline2"/>
      </w:pPr>
      <w:r>
        <w:t xml:space="preserve">In transactional matters, a full understanding of the nature of the transaction, the reason for it and how it is to be funded will need to be carefully considered. </w:t>
      </w:r>
    </w:p>
    <w:p w:rsidR="00F318EA" w:rsidRDefault="00926329" w:rsidP="00F318EA">
      <w:pPr>
        <w:pStyle w:val="Outline2"/>
      </w:pPr>
      <w:r>
        <w:t xml:space="preserve">Simply because a client or matter falls within a certain risk category does not mean that ML or TF is occurring. However, that does not mean that care does not still need to be taken. </w:t>
      </w:r>
    </w:p>
    <w:p w:rsidR="002A79FA" w:rsidRDefault="002A79FA" w:rsidP="00926329">
      <w:pPr>
        <w:pStyle w:val="Outline1"/>
      </w:pPr>
      <w:r>
        <w:t>The way the Firm delivers its services</w:t>
      </w:r>
    </w:p>
    <w:p w:rsidR="00416C6F" w:rsidRDefault="00416C6F" w:rsidP="00416C6F">
      <w:pPr>
        <w:pStyle w:val="Outline2"/>
      </w:pPr>
      <w:r>
        <w:t>ML/TF risk increases with the Firm’s non-face-to-face customers (via post, telephone and internet).</w:t>
      </w:r>
    </w:p>
    <w:p w:rsidR="00416C6F" w:rsidRPr="00416C6F" w:rsidRDefault="00416C6F" w:rsidP="00416C6F">
      <w:pPr>
        <w:pStyle w:val="Outline2"/>
      </w:pPr>
      <w:r>
        <w:t xml:space="preserve">ML/TF risk also increases where the Firm has an indirect relationship with clients (for example, via intermediaries). </w:t>
      </w:r>
    </w:p>
    <w:p w:rsidR="007961B5" w:rsidRDefault="002A79FA" w:rsidP="00926329">
      <w:pPr>
        <w:pStyle w:val="Outline1"/>
      </w:pPr>
      <w:r>
        <w:t>The types of customers the Firm deals with</w:t>
      </w:r>
    </w:p>
    <w:p w:rsidR="00BF1F7B" w:rsidRDefault="00926329" w:rsidP="00BF1F7B">
      <w:pPr>
        <w:pStyle w:val="Outline2"/>
      </w:pPr>
      <w:r>
        <w:t>Another relevant factor is the</w:t>
      </w:r>
      <w:r w:rsidR="00CF0C33">
        <w:t xml:space="preserve"> make-up of the F</w:t>
      </w:r>
      <w:r>
        <w:t xml:space="preserve">irms client base. </w:t>
      </w:r>
      <w:r w:rsidR="00BF1F7B">
        <w:t xml:space="preserve">The more we know about our clients and the purpose(s) that they intend to fulfil in instructing our Firm, the better placed the Firm will be to assess ML and TF risks and </w:t>
      </w:r>
      <w:r w:rsidR="00F551BE">
        <w:t>identify</w:t>
      </w:r>
      <w:r w:rsidR="00BF1F7B">
        <w:t xml:space="preserve"> suspicious activity. The risk assessment process that has been designed by the Firm and which will be carried out at the outset of a relationship will have an impact on how a client is treated both (1) from the start of the relationship with the Firm; and (2) if it is considered during the course of an engagement with a client that there is an element of conduct which calls for an adjustment of that </w:t>
      </w:r>
      <w:proofErr w:type="gramStart"/>
      <w:r w:rsidR="00BF1F7B">
        <w:t>clients</w:t>
      </w:r>
      <w:proofErr w:type="gramEnd"/>
      <w:r w:rsidR="00BF1F7B">
        <w:t xml:space="preserve"> risk assessment.</w:t>
      </w:r>
    </w:p>
    <w:p w:rsidR="00BF1F7B" w:rsidRDefault="00BF1F7B" w:rsidP="00BF1F7B">
      <w:pPr>
        <w:pStyle w:val="Outline2"/>
      </w:pPr>
      <w:r>
        <w:t xml:space="preserve">Without limitation, the following factors should be considered in relation to a </w:t>
      </w:r>
      <w:proofErr w:type="gramStart"/>
      <w:r>
        <w:t>particular client</w:t>
      </w:r>
      <w:proofErr w:type="gramEnd"/>
      <w:r>
        <w:t>:</w:t>
      </w:r>
    </w:p>
    <w:p w:rsidR="00BF1F7B" w:rsidRDefault="00BF1F7B" w:rsidP="00BF1F7B">
      <w:pPr>
        <w:pStyle w:val="Outline3"/>
      </w:pPr>
      <w:r>
        <w:t xml:space="preserve">The level of risk that is associated with the </w:t>
      </w:r>
      <w:proofErr w:type="gramStart"/>
      <w:r>
        <w:t>clients</w:t>
      </w:r>
      <w:proofErr w:type="gramEnd"/>
      <w:r>
        <w:t xml:space="preserve"> particular type of business. </w:t>
      </w:r>
    </w:p>
    <w:p w:rsidR="00BF1F7B" w:rsidRDefault="00BF1F7B" w:rsidP="00BF1F7B">
      <w:pPr>
        <w:pStyle w:val="Outline3"/>
      </w:pPr>
      <w:r>
        <w:t>Location risks associated with a client, introducer or intermediary.</w:t>
      </w:r>
    </w:p>
    <w:p w:rsidR="00BF1F7B" w:rsidRDefault="00BF1F7B" w:rsidP="00BF1F7B">
      <w:pPr>
        <w:pStyle w:val="Outline3"/>
      </w:pPr>
      <w:r>
        <w:t xml:space="preserve">The speed with which our engagement requirements (including AML/CFT requirements) are satisfied. </w:t>
      </w:r>
    </w:p>
    <w:p w:rsidR="00BF1F7B" w:rsidRDefault="00BF1F7B" w:rsidP="00BF1F7B">
      <w:pPr>
        <w:pStyle w:val="Outline3"/>
      </w:pPr>
      <w:r>
        <w:t xml:space="preserve">The ease with which the Firm can determine whether CDD documentation and information in relation to the client is reliable and adequately identify the client. </w:t>
      </w:r>
    </w:p>
    <w:p w:rsidR="00BF1F7B" w:rsidRDefault="00BF1F7B" w:rsidP="00BF1F7B">
      <w:pPr>
        <w:pStyle w:val="Outline3"/>
      </w:pPr>
      <w:r>
        <w:t xml:space="preserve">The ease with which a control and ownership structure may be understood. </w:t>
      </w:r>
    </w:p>
    <w:p w:rsidR="00BF1F7B" w:rsidRDefault="00BF1F7B" w:rsidP="00BF1F7B">
      <w:pPr>
        <w:pStyle w:val="Outline3"/>
      </w:pPr>
      <w:r>
        <w:lastRenderedPageBreak/>
        <w:t xml:space="preserve">Whether there is anything unusual about the nature of the matter and how the Firm came to be instructed. For example, has the Firm been approached to act in relation to a matter that is outside its usual scope of practice. </w:t>
      </w:r>
    </w:p>
    <w:p w:rsidR="00BF1F7B" w:rsidDel="00781039" w:rsidRDefault="00BF1F7B" w:rsidP="00BF1F7B">
      <w:pPr>
        <w:pStyle w:val="Outline2"/>
      </w:pPr>
      <w:r w:rsidDel="00781039">
        <w:t>Regard must be had to the Business Risk Type Assessmen</w:t>
      </w:r>
      <w:r w:rsidR="00F551BE">
        <w:t>t in the Schedule to this document</w:t>
      </w:r>
      <w:r w:rsidDel="00781039">
        <w:t>.</w:t>
      </w:r>
    </w:p>
    <w:p w:rsidR="00926329" w:rsidRDefault="00DC73BB" w:rsidP="00926329">
      <w:pPr>
        <w:pStyle w:val="Outline2"/>
      </w:pPr>
      <w:r>
        <w:t>Generally, long term clients present less risk. This is because a consequence of developing long term client means more will be known about the individuals, and their business(</w:t>
      </w:r>
      <w:proofErr w:type="spellStart"/>
      <w:r>
        <w:t>es</w:t>
      </w:r>
      <w:proofErr w:type="spellEnd"/>
      <w:r>
        <w:t xml:space="preserve">). </w:t>
      </w:r>
      <w:r w:rsidR="0027761F">
        <w:t xml:space="preserve">Additionally, customers who are employed and receive a regular source of income from a known source (e.g. salaried persons or pensioners) may indicate a lower risk. </w:t>
      </w:r>
    </w:p>
    <w:p w:rsidR="00C07274" w:rsidRDefault="00C07274" w:rsidP="00390775">
      <w:pPr>
        <w:pStyle w:val="Heading2"/>
        <w:ind w:firstLine="709"/>
      </w:pPr>
      <w:r>
        <w:t xml:space="preserve">General warning signs  </w:t>
      </w:r>
    </w:p>
    <w:p w:rsidR="00DC73BB" w:rsidRDefault="00DC73BB" w:rsidP="00926329">
      <w:pPr>
        <w:pStyle w:val="Outline2"/>
      </w:pPr>
      <w:r>
        <w:t>Greater (and in some cases, much greater) care will need to be taken where:</w:t>
      </w:r>
    </w:p>
    <w:p w:rsidR="00154F91" w:rsidRDefault="00154F91" w:rsidP="00DC73BB">
      <w:pPr>
        <w:pStyle w:val="Outline3"/>
      </w:pPr>
      <w:r>
        <w:t>A client is secretive</w:t>
      </w:r>
      <w:r w:rsidR="007872F0">
        <w:t xml:space="preserve"> or the Firm is asked to act for a client without meeting them</w:t>
      </w:r>
      <w:r>
        <w:t>:</w:t>
      </w:r>
    </w:p>
    <w:p w:rsidR="00154F91" w:rsidRDefault="00154F91" w:rsidP="00F551BE">
      <w:pPr>
        <w:pStyle w:val="Outline4"/>
        <w:numPr>
          <w:ilvl w:val="0"/>
          <w:numId w:val="0"/>
        </w:numPr>
        <w:ind w:left="1559"/>
      </w:pPr>
      <w:r>
        <w:t xml:space="preserve">While face to face contact with clients is not always necessary, an excessively obstructive or secretive client may be a cause for concern. </w:t>
      </w:r>
    </w:p>
    <w:p w:rsidR="007872F0" w:rsidRDefault="007872F0" w:rsidP="007872F0">
      <w:pPr>
        <w:pStyle w:val="Outline3"/>
      </w:pPr>
      <w:r>
        <w:t xml:space="preserve">The Firm is introduced to a client by a ‘gatekeeper’ such as an accountant, lawyer, or other professional. </w:t>
      </w:r>
    </w:p>
    <w:p w:rsidR="007872F0" w:rsidRDefault="007872F0" w:rsidP="007872F0">
      <w:pPr>
        <w:pStyle w:val="Outline3"/>
      </w:pPr>
      <w:r>
        <w:t xml:space="preserve">The Firm is asked to act for legal entities that have complex ownership or business structures that offer no apparent financial benefits. </w:t>
      </w:r>
    </w:p>
    <w:p w:rsidR="007872F0" w:rsidRDefault="007872F0" w:rsidP="007872F0">
      <w:pPr>
        <w:pStyle w:val="Outline3"/>
      </w:pPr>
      <w:r>
        <w:t>Where customer due diligence (‘</w:t>
      </w:r>
      <w:r>
        <w:rPr>
          <w:b/>
        </w:rPr>
        <w:t>CDD</w:t>
      </w:r>
      <w:r>
        <w:t xml:space="preserve">’) information (including in relation to those beneficially interested in the legal entity) is only provided reluctantly. </w:t>
      </w:r>
    </w:p>
    <w:p w:rsidR="007872F0" w:rsidRDefault="007872F0" w:rsidP="007872F0">
      <w:pPr>
        <w:pStyle w:val="Outline3"/>
      </w:pPr>
      <w:r>
        <w:t xml:space="preserve">A client </w:t>
      </w:r>
      <w:r w:rsidR="00960126">
        <w:t>seems un</w:t>
      </w:r>
      <w:r>
        <w:t xml:space="preserve">likely to </w:t>
      </w:r>
      <w:r w:rsidR="00960126">
        <w:t>engage the Firm more than once</w:t>
      </w:r>
      <w:r>
        <w:t xml:space="preserve">. </w:t>
      </w:r>
    </w:p>
    <w:p w:rsidR="007872F0" w:rsidRDefault="007872F0" w:rsidP="007872F0">
      <w:pPr>
        <w:pStyle w:val="Outline3"/>
      </w:pPr>
      <w:r>
        <w:t xml:space="preserve">A client is engaged in cash-intensive businesses. </w:t>
      </w:r>
    </w:p>
    <w:p w:rsidR="000C26BC" w:rsidRDefault="007872F0" w:rsidP="000C26BC">
      <w:pPr>
        <w:pStyle w:val="Outline3"/>
      </w:pPr>
      <w:r>
        <w:t xml:space="preserve">The client is engaged in activities outside of New Zealand. </w:t>
      </w:r>
    </w:p>
    <w:p w:rsidR="000C26BC" w:rsidRDefault="000C26BC" w:rsidP="000C26BC">
      <w:pPr>
        <w:pStyle w:val="Outline3"/>
      </w:pPr>
      <w:r>
        <w:t xml:space="preserve">The client is a not-for-profit/charitable organisations. </w:t>
      </w:r>
    </w:p>
    <w:p w:rsidR="00154F91" w:rsidRDefault="00154F91" w:rsidP="00DC73BB">
      <w:pPr>
        <w:pStyle w:val="Outline3"/>
      </w:pPr>
      <w:r>
        <w:t>Unusual instructions are received by the Firm:</w:t>
      </w:r>
    </w:p>
    <w:p w:rsidR="00EA02F0" w:rsidRDefault="00154F91" w:rsidP="00F551BE">
      <w:pPr>
        <w:pStyle w:val="Outline4"/>
        <w:numPr>
          <w:ilvl w:val="0"/>
          <w:numId w:val="0"/>
        </w:numPr>
        <w:ind w:left="1559"/>
      </w:pPr>
      <w:r>
        <w:t>Instructions that are unusual in themselves, or that are unusual for the Firm or the client, may be a cause for concern.</w:t>
      </w:r>
      <w:r w:rsidR="00EA02F0">
        <w:t xml:space="preserve"> These could include:</w:t>
      </w:r>
      <w:r w:rsidR="00EA02F0">
        <w:tab/>
      </w:r>
    </w:p>
    <w:p w:rsidR="00EA02F0" w:rsidRPr="00EA02F0" w:rsidRDefault="00EA02F0" w:rsidP="00EA02F0">
      <w:pPr>
        <w:pStyle w:val="Outline5"/>
        <w:numPr>
          <w:ilvl w:val="4"/>
          <w:numId w:val="29"/>
        </w:numPr>
      </w:pPr>
      <w:r w:rsidRPr="00EA02F0">
        <w:t xml:space="preserve">Disputes which are settled </w:t>
      </w:r>
      <w:r w:rsidR="00960126">
        <w:t>more easily</w:t>
      </w:r>
      <w:r w:rsidR="00960126" w:rsidRPr="00EA02F0">
        <w:t xml:space="preserve"> </w:t>
      </w:r>
      <w:r w:rsidRPr="00EA02F0">
        <w:t xml:space="preserve">than anticipated. This may indicate </w:t>
      </w:r>
      <w:r w:rsidR="00960126">
        <w:t>bogus</w:t>
      </w:r>
      <w:r w:rsidR="00960126" w:rsidRPr="00EA02F0">
        <w:t xml:space="preserve"> </w:t>
      </w:r>
      <w:r w:rsidRPr="00EA02F0">
        <w:t xml:space="preserve">litigation. </w:t>
      </w:r>
    </w:p>
    <w:p w:rsidR="00EA02F0" w:rsidRPr="00EA02F0" w:rsidRDefault="00EA02F0" w:rsidP="00EA02F0">
      <w:pPr>
        <w:pStyle w:val="Outline5"/>
        <w:numPr>
          <w:ilvl w:val="4"/>
          <w:numId w:val="29"/>
        </w:numPr>
      </w:pPr>
      <w:r w:rsidRPr="00EA02F0">
        <w:t xml:space="preserve">Loss-making transactions where the loss is avoidable, or where loans are written-off. </w:t>
      </w:r>
    </w:p>
    <w:p w:rsidR="00EA02F0" w:rsidRPr="00EA02F0" w:rsidRDefault="00EA02F0" w:rsidP="00EA02F0">
      <w:pPr>
        <w:pStyle w:val="Outline5"/>
        <w:numPr>
          <w:ilvl w:val="4"/>
          <w:numId w:val="29"/>
        </w:numPr>
      </w:pPr>
      <w:r w:rsidRPr="00EA02F0">
        <w:t>Dealing with money/property where there is a suspicion that the money/property is being transferred to avoid the attention of a liquidator/trustee, the IRD or a law enforcement agency.</w:t>
      </w:r>
    </w:p>
    <w:p w:rsidR="00EA02F0" w:rsidRPr="00EA02F0" w:rsidRDefault="00EA02F0" w:rsidP="00EA02F0">
      <w:pPr>
        <w:pStyle w:val="Outline5"/>
        <w:numPr>
          <w:ilvl w:val="4"/>
          <w:numId w:val="29"/>
        </w:numPr>
      </w:pPr>
      <w:r w:rsidRPr="00EA02F0">
        <w:t xml:space="preserve">Settlements paid in cash. </w:t>
      </w:r>
    </w:p>
    <w:p w:rsidR="00EA02F0" w:rsidRPr="00EA02F0" w:rsidRDefault="00EA02F0" w:rsidP="00EA02F0">
      <w:pPr>
        <w:pStyle w:val="Outline5"/>
        <w:numPr>
          <w:ilvl w:val="4"/>
          <w:numId w:val="29"/>
        </w:numPr>
      </w:pPr>
      <w:r w:rsidRPr="00EA02F0">
        <w:lastRenderedPageBreak/>
        <w:t xml:space="preserve">Settlements paid directly between parties (i.e. seller and buyer) without an adequate explanation. This may indicate tax evasion. </w:t>
      </w:r>
    </w:p>
    <w:p w:rsidR="00EA02F0" w:rsidRPr="00EA02F0" w:rsidRDefault="00EA02F0" w:rsidP="00EA02F0">
      <w:pPr>
        <w:pStyle w:val="Outline5"/>
        <w:numPr>
          <w:ilvl w:val="4"/>
          <w:numId w:val="29"/>
        </w:numPr>
      </w:pPr>
      <w:r w:rsidRPr="00EA02F0">
        <w:t>Complex or unusually large transactions.</w:t>
      </w:r>
    </w:p>
    <w:p w:rsidR="00154F91" w:rsidRDefault="00EA02F0" w:rsidP="00EA02F0">
      <w:pPr>
        <w:pStyle w:val="Outline5"/>
        <w:numPr>
          <w:ilvl w:val="4"/>
          <w:numId w:val="29"/>
        </w:numPr>
      </w:pPr>
      <w:r w:rsidRPr="00EA02F0">
        <w:t>Unusual patterns of transactions for which there i</w:t>
      </w:r>
      <w:r>
        <w:t>s no apparent economic purpose.</w:t>
      </w:r>
    </w:p>
    <w:p w:rsidR="00EA02F0" w:rsidRDefault="00EA02F0" w:rsidP="00DC73BB">
      <w:pPr>
        <w:pStyle w:val="Outline3"/>
      </w:pPr>
      <w:r>
        <w:t>A client changes its instructions</w:t>
      </w:r>
      <w:r w:rsidRPr="00EA02F0">
        <w:t xml:space="preserve"> </w:t>
      </w:r>
      <w:r>
        <w:t>unexpectedly and for no logical reason, including by:</w:t>
      </w:r>
    </w:p>
    <w:p w:rsidR="00EA02F0" w:rsidRPr="00EA02F0" w:rsidRDefault="00EA02F0" w:rsidP="00EA02F0">
      <w:pPr>
        <w:pStyle w:val="Outline4"/>
      </w:pPr>
      <w:r w:rsidRPr="00EA02F0">
        <w:t>A client</w:t>
      </w:r>
      <w:r w:rsidR="00F551BE">
        <w:t xml:space="preserve"> who</w:t>
      </w:r>
      <w:r w:rsidRPr="00EA02F0">
        <w:t xml:space="preserve"> deposits funds into the Firm’s trust account but then ends the transaction for no apparent reason.</w:t>
      </w:r>
    </w:p>
    <w:p w:rsidR="00EA02F0" w:rsidRPr="00EA02F0" w:rsidRDefault="00EA02F0" w:rsidP="00EA02F0">
      <w:pPr>
        <w:pStyle w:val="Outline4"/>
      </w:pPr>
      <w:r w:rsidRPr="00EA02F0">
        <w:t>A client</w:t>
      </w:r>
      <w:r w:rsidR="00F551BE">
        <w:t xml:space="preserve"> who</w:t>
      </w:r>
      <w:r w:rsidRPr="00EA02F0">
        <w:t xml:space="preserve"> tells the Firm that funds are coming from one source, and at the last minute the source changes.</w:t>
      </w:r>
    </w:p>
    <w:p w:rsidR="00EA02F0" w:rsidRPr="00EA02F0" w:rsidRDefault="00EA02F0" w:rsidP="00EA02F0">
      <w:pPr>
        <w:pStyle w:val="Outline4"/>
      </w:pPr>
      <w:r w:rsidRPr="00EA02F0">
        <w:t xml:space="preserve">A client </w:t>
      </w:r>
      <w:r w:rsidR="00F551BE">
        <w:t xml:space="preserve">who </w:t>
      </w:r>
      <w:r w:rsidRPr="00EA02F0">
        <w:t xml:space="preserve">unexpectedly requests that the Firm sends money held in the trust account back to its source (whether that be the client, or a third party). </w:t>
      </w:r>
    </w:p>
    <w:p w:rsidR="00EA02F0" w:rsidRPr="00EA02F0" w:rsidRDefault="00EA02F0" w:rsidP="00EA02F0">
      <w:pPr>
        <w:pStyle w:val="Outline4"/>
      </w:pPr>
      <w:r w:rsidRPr="00EA02F0">
        <w:t xml:space="preserve">Where the proposed transaction changes, or is cancelled (for example, a client deposits funds into the trust account for a future commitment, the commitment is then cancelled, and the client’s funds are refunded). </w:t>
      </w:r>
    </w:p>
    <w:p w:rsidR="00EA02F0" w:rsidRPr="00EA02F0" w:rsidRDefault="00EA02F0" w:rsidP="00EA02F0">
      <w:pPr>
        <w:pStyle w:val="Outline4"/>
      </w:pPr>
      <w:r w:rsidRPr="00EA02F0">
        <w:t>Changes in a corporate client’s business or organisational/ownership structure (for example, a change of directors, location or line of business or a significant change of shareholders).</w:t>
      </w:r>
    </w:p>
    <w:p w:rsidR="00EA02F0" w:rsidRPr="00EA02F0" w:rsidRDefault="00EA02F0" w:rsidP="00EA02F0">
      <w:pPr>
        <w:pStyle w:val="Outline4"/>
      </w:pPr>
      <w:r w:rsidRPr="00EA02F0">
        <w:t xml:space="preserve">Changes in a client’s relationship with the Firm (for example, the client enters into more substantial transaction than originally anticipated). </w:t>
      </w:r>
    </w:p>
    <w:p w:rsidR="00EA02F0" w:rsidRDefault="00EA02F0" w:rsidP="00EA02F0">
      <w:pPr>
        <w:pStyle w:val="Outline4"/>
      </w:pPr>
      <w:r w:rsidRPr="00EA02F0">
        <w:t xml:space="preserve">Changes in the background to the client relationship (for example, the </w:t>
      </w:r>
      <w:proofErr w:type="gramStart"/>
      <w:r w:rsidRPr="00EA02F0">
        <w:t>client’s</w:t>
      </w:r>
      <w:proofErr w:type="gramEnd"/>
      <w:r w:rsidRPr="00EA02F0">
        <w:t xml:space="preserve"> becomes located in a high risk jurisdiction, or new guidance is published that requires greater CDD compared to what was required at the outset of the relationship.) </w:t>
      </w:r>
    </w:p>
    <w:p w:rsidR="00DC73BB" w:rsidRDefault="00CF0C33" w:rsidP="00DC73BB">
      <w:pPr>
        <w:pStyle w:val="Outline3"/>
      </w:pPr>
      <w:r>
        <w:t>The F</w:t>
      </w:r>
      <w:r w:rsidR="00DC73BB">
        <w:t>irm is asked to act for a politically exposed person (‘</w:t>
      </w:r>
      <w:r w:rsidR="00F551BE">
        <w:rPr>
          <w:b/>
        </w:rPr>
        <w:t>PEP</w:t>
      </w:r>
      <w:r>
        <w:t>’)</w:t>
      </w:r>
      <w:r w:rsidR="00FC1F4B">
        <w:rPr>
          <w:rStyle w:val="FootnoteReference"/>
        </w:rPr>
        <w:footnoteReference w:id="2"/>
      </w:r>
      <w:r>
        <w:t>. Where the F</w:t>
      </w:r>
      <w:r w:rsidR="00DC73BB">
        <w:t xml:space="preserve">irm is asked to act for a PEP, careful consideration will need to be taken </w:t>
      </w:r>
      <w:proofErr w:type="gramStart"/>
      <w:r w:rsidR="00DC73BB">
        <w:t>in regards to</w:t>
      </w:r>
      <w:proofErr w:type="gramEnd"/>
      <w:r w:rsidR="00DC73BB">
        <w:t xml:space="preserve"> whether such person</w:t>
      </w:r>
      <w:r>
        <w:t xml:space="preserve"> should become a client of the F</w:t>
      </w:r>
      <w:r w:rsidR="00DC73BB">
        <w:t xml:space="preserve">irm. </w:t>
      </w:r>
    </w:p>
    <w:p w:rsidR="0027761F" w:rsidRDefault="0027761F" w:rsidP="00DC73BB">
      <w:pPr>
        <w:pStyle w:val="Outline3"/>
      </w:pPr>
      <w:r>
        <w:t xml:space="preserve">Clients who are non-profit/charitable organisations. </w:t>
      </w:r>
    </w:p>
    <w:p w:rsidR="00DC73BB" w:rsidRDefault="00DC73BB" w:rsidP="00DC73BB">
      <w:pPr>
        <w:pStyle w:val="Outline3"/>
      </w:pPr>
      <w:r>
        <w:t>An intermediary practi</w:t>
      </w:r>
      <w:r w:rsidR="00F551BE">
        <w:t>s</w:t>
      </w:r>
      <w:r>
        <w:t xml:space="preserve">es in a location with high levels of acquisitive crime or for clients who do not have established businesses or clearly identifiable and established sources of wealth. </w:t>
      </w:r>
    </w:p>
    <w:p w:rsidR="00DC73BB" w:rsidRDefault="00CF0C33" w:rsidP="00DC73BB">
      <w:pPr>
        <w:pStyle w:val="Outline3"/>
      </w:pPr>
      <w:r>
        <w:t>The F</w:t>
      </w:r>
      <w:r w:rsidR="00DC73BB">
        <w:t xml:space="preserve">irm is asked to act for clients affiliated to countries with high levels of corruption or where terrorist organisations operate. </w:t>
      </w:r>
    </w:p>
    <w:p w:rsidR="00DC73BB" w:rsidRDefault="00082784" w:rsidP="00082784">
      <w:pPr>
        <w:pStyle w:val="Outline2"/>
      </w:pPr>
      <w:r>
        <w:t xml:space="preserve">Furthermore, having regard to the risks posed by a specific client or matter is necessary to ensure internal controls are applied in an appropriate manner. Examples of such internal controls include: enhanced customer due diligence, more frequent reviews of identification verification material, and second partner sign-off in high-risk matters. </w:t>
      </w:r>
    </w:p>
    <w:p w:rsidR="002A79FA" w:rsidRDefault="002A79FA" w:rsidP="002A79FA">
      <w:pPr>
        <w:pStyle w:val="Outline1"/>
      </w:pPr>
      <w:r>
        <w:lastRenderedPageBreak/>
        <w:t>The countries that the Firm deals with</w:t>
      </w:r>
    </w:p>
    <w:p w:rsidR="0027761F" w:rsidRDefault="0027761F" w:rsidP="00EA02F0">
      <w:pPr>
        <w:pStyle w:val="Outline2"/>
      </w:pPr>
      <w:r>
        <w:t xml:space="preserve">When services are being provided to a client located in a jurisdiction outside of New Zealand, consideration should be </w:t>
      </w:r>
      <w:r w:rsidR="00960126">
        <w:t xml:space="preserve">given </w:t>
      </w:r>
      <w:r>
        <w:t>to whether that jurisdiction:</w:t>
      </w:r>
    </w:p>
    <w:p w:rsidR="0027761F" w:rsidRDefault="0027761F" w:rsidP="0027761F">
      <w:pPr>
        <w:pStyle w:val="Outline3"/>
      </w:pPr>
      <w:r>
        <w:t>is subject to United Nations sanctions, embargoes or similar measures;</w:t>
      </w:r>
    </w:p>
    <w:p w:rsidR="0027761F" w:rsidRDefault="0027761F" w:rsidP="0027761F">
      <w:pPr>
        <w:pStyle w:val="Outline3"/>
      </w:pPr>
      <w:r>
        <w:t>has been identified by credible sources (such as the FATF) as lacking adequate ML controls;</w:t>
      </w:r>
    </w:p>
    <w:p w:rsidR="0027761F" w:rsidRDefault="0027761F" w:rsidP="0027761F">
      <w:pPr>
        <w:pStyle w:val="Outline3"/>
      </w:pPr>
      <w:r>
        <w:t>has been identified by credible sources as supporting TF;</w:t>
      </w:r>
    </w:p>
    <w:p w:rsidR="0027761F" w:rsidRDefault="0027761F" w:rsidP="0027761F">
      <w:pPr>
        <w:pStyle w:val="Outline3"/>
      </w:pPr>
      <w:r>
        <w:t xml:space="preserve">has been identified by credible sources as having significant levels of corruption; </w:t>
      </w:r>
    </w:p>
    <w:p w:rsidR="0027761F" w:rsidRDefault="0027761F" w:rsidP="0027761F">
      <w:pPr>
        <w:pStyle w:val="Outline3"/>
      </w:pPr>
      <w:r>
        <w:t>is a tax haven;</w:t>
      </w:r>
    </w:p>
    <w:p w:rsidR="0027761F" w:rsidRDefault="0027761F" w:rsidP="0027761F">
      <w:pPr>
        <w:pStyle w:val="Outline3"/>
      </w:pPr>
      <w:r>
        <w:t xml:space="preserve">is associated with drug production and/or shipment. </w:t>
      </w:r>
    </w:p>
    <w:p w:rsidR="00EA02F0" w:rsidRDefault="00EA02F0" w:rsidP="00EA02F0">
      <w:pPr>
        <w:pStyle w:val="Outline2"/>
      </w:pPr>
      <w:r>
        <w:t>In such a situation, the following points should also be considered:</w:t>
      </w:r>
    </w:p>
    <w:p w:rsidR="00EA02F0" w:rsidRDefault="00EA02F0" w:rsidP="00EA02F0">
      <w:pPr>
        <w:pStyle w:val="Outline3"/>
      </w:pPr>
      <w:r>
        <w:t>Whether extra precautions should be taken when dealing with funds or clients from that particular jurisdiction.</w:t>
      </w:r>
    </w:p>
    <w:p w:rsidR="00EA02F0" w:rsidRDefault="00EA02F0" w:rsidP="00EA02F0">
      <w:pPr>
        <w:pStyle w:val="Outline3"/>
      </w:pPr>
      <w:r w:rsidRPr="00EA02F0">
        <w:t xml:space="preserve">Whether we should </w:t>
      </w:r>
      <w:r>
        <w:t xml:space="preserve">conduct </w:t>
      </w:r>
      <w:r w:rsidRPr="00EA02F0">
        <w:t xml:space="preserve">enhanced due diligence and ongoing account monitoring with respect to (1) the client; and (2) the country involved. </w:t>
      </w:r>
    </w:p>
    <w:p w:rsidR="00EA02F0" w:rsidRPr="0027761F" w:rsidRDefault="00EA02F0" w:rsidP="00EA02F0">
      <w:pPr>
        <w:pStyle w:val="Outline2"/>
      </w:pPr>
      <w:r>
        <w:t xml:space="preserve">A list of sanctioned countries, and countries that present ML/TF risk can be found </w:t>
      </w:r>
      <w:hyperlink r:id="rId11" w:anchor="high-risk" w:history="1">
        <w:r w:rsidR="00324AB0" w:rsidRPr="00324AB0">
          <w:rPr>
            <w:rStyle w:val="Hyperlink"/>
          </w:rPr>
          <w:t>here</w:t>
        </w:r>
      </w:hyperlink>
      <w:r w:rsidR="00324AB0">
        <w:t xml:space="preserve">. </w:t>
      </w:r>
      <w:r>
        <w:t xml:space="preserve"> </w:t>
      </w:r>
    </w:p>
    <w:p w:rsidR="002A79FA" w:rsidRDefault="002A79FA" w:rsidP="002A79FA">
      <w:pPr>
        <w:pStyle w:val="Outline1"/>
      </w:pPr>
      <w:r>
        <w:t>The institutions that the Firm deals with</w:t>
      </w:r>
    </w:p>
    <w:p w:rsidR="0027761F" w:rsidRDefault="00AB1490" w:rsidP="0027761F">
      <w:pPr>
        <w:pStyle w:val="Outline2"/>
        <w:numPr>
          <w:ilvl w:val="0"/>
          <w:numId w:val="0"/>
        </w:numPr>
        <w:ind w:left="709"/>
      </w:pPr>
      <w:r>
        <w:t>There is an increased risk where the Firm is dealing with financial institutions which are:</w:t>
      </w:r>
    </w:p>
    <w:p w:rsidR="00AB1490" w:rsidRDefault="00AB1490" w:rsidP="00AB1490">
      <w:pPr>
        <w:pStyle w:val="Outline3"/>
      </w:pPr>
      <w:r>
        <w:t xml:space="preserve">Unregulated; </w:t>
      </w:r>
    </w:p>
    <w:p w:rsidR="00AB1490" w:rsidRDefault="00AB1490" w:rsidP="00AB1490">
      <w:pPr>
        <w:pStyle w:val="Outline3"/>
      </w:pPr>
      <w:r>
        <w:t>Shell companies; or</w:t>
      </w:r>
    </w:p>
    <w:p w:rsidR="00AB1490" w:rsidRDefault="00AB1490" w:rsidP="00AB1490">
      <w:pPr>
        <w:pStyle w:val="Outline3"/>
      </w:pPr>
      <w:r>
        <w:t xml:space="preserve">Shell banks. </w:t>
      </w:r>
    </w:p>
    <w:p w:rsidR="00324AB0" w:rsidRDefault="00324AB0" w:rsidP="00324AB0">
      <w:pPr>
        <w:pStyle w:val="Outline1"/>
      </w:pPr>
      <w:r>
        <w:t>Additional red flags</w:t>
      </w:r>
    </w:p>
    <w:p w:rsidR="00324AB0" w:rsidRDefault="00324AB0" w:rsidP="00390775">
      <w:pPr>
        <w:pStyle w:val="Outline2"/>
        <w:numPr>
          <w:ilvl w:val="0"/>
          <w:numId w:val="0"/>
        </w:numPr>
        <w:ind w:left="709"/>
      </w:pPr>
      <w:r>
        <w:t xml:space="preserve">Reference should also be made to </w:t>
      </w:r>
      <w:hyperlink r:id="rId12" w:history="1">
        <w:r w:rsidRPr="00324AB0">
          <w:rPr>
            <w:rStyle w:val="Hyperlink"/>
          </w:rPr>
          <w:t>section 6</w:t>
        </w:r>
      </w:hyperlink>
      <w:r>
        <w:t xml:space="preserve"> and </w:t>
      </w:r>
      <w:hyperlink r:id="rId13" w:history="1">
        <w:r w:rsidRPr="00324AB0">
          <w:rPr>
            <w:rStyle w:val="Hyperlink"/>
          </w:rPr>
          <w:t>appendix B</w:t>
        </w:r>
      </w:hyperlink>
      <w:r>
        <w:t xml:space="preserve"> of the Lawyers and Conveyancers Guidelines</w:t>
      </w:r>
      <w:r>
        <w:rPr>
          <w:rStyle w:val="FootnoteReference"/>
        </w:rPr>
        <w:footnoteReference w:id="3"/>
      </w:r>
      <w:r>
        <w:t xml:space="preserve"> which identifies further red flags that should be considered. </w:t>
      </w:r>
    </w:p>
    <w:p w:rsidR="00EA02F0" w:rsidRDefault="00EA02F0" w:rsidP="00973666">
      <w:pPr>
        <w:pStyle w:val="Outline1"/>
      </w:pPr>
      <w:r>
        <w:t>Use of Firm’s trust account</w:t>
      </w:r>
    </w:p>
    <w:p w:rsidR="00EA02F0" w:rsidRPr="00EA02F0" w:rsidRDefault="00EA02F0" w:rsidP="00EA02F0">
      <w:pPr>
        <w:pStyle w:val="Outline2"/>
      </w:pPr>
      <w:r w:rsidRPr="00EA02F0">
        <w:t>Only use the Firm’s trust account to hold funds for our clients</w:t>
      </w:r>
      <w:r w:rsidR="00F551BE">
        <w:t>’</w:t>
      </w:r>
      <w:r w:rsidRPr="00EA02F0">
        <w:t xml:space="preserve"> legitimate transactions, or for other proper legal purposes. Dirty money which flows through the Firm</w:t>
      </w:r>
      <w:r w:rsidR="00F551BE">
        <w:t>’</w:t>
      </w:r>
      <w:r w:rsidRPr="00EA02F0">
        <w:t xml:space="preserve">s trust account could clean it (whether the money is sent back to the client, sent to a third party, or invested). </w:t>
      </w:r>
    </w:p>
    <w:p w:rsidR="00EA02F0" w:rsidRPr="00EA02F0" w:rsidRDefault="00EA02F0" w:rsidP="00EA02F0">
      <w:pPr>
        <w:pStyle w:val="Outline2"/>
      </w:pPr>
      <w:r w:rsidRPr="00EA02F0">
        <w:t xml:space="preserve">Introducing cash into a banking system can become part of the placement stage of ML/TF. Therefore, the use of cash by clients should be a warning sign. </w:t>
      </w:r>
    </w:p>
    <w:p w:rsidR="00EA02F0" w:rsidRPr="00EA02F0" w:rsidRDefault="00EA02F0" w:rsidP="00EA02F0">
      <w:pPr>
        <w:pStyle w:val="Outline2"/>
      </w:pPr>
      <w:r w:rsidRPr="00EA02F0">
        <w:t xml:space="preserve">Our Firm should not provide a banking service to our clients. It can be difficult to draw a distinction between holding client money for a legitimate transaction and acting more like a </w:t>
      </w:r>
      <w:r w:rsidRPr="00EA02F0">
        <w:lastRenderedPageBreak/>
        <w:t xml:space="preserve">bank. For example, when the proceeds of a sale of property are left with the Firm to distribute, payment may be made to mainstream loan companies, but there could also be payments made to more obscure recipients, including private individuals, whose identity is difficult or impossible to verify. </w:t>
      </w:r>
    </w:p>
    <w:p w:rsidR="00EA02F0" w:rsidRDefault="00EA02F0" w:rsidP="00EA02F0">
      <w:pPr>
        <w:pStyle w:val="Outline2"/>
      </w:pPr>
      <w:r w:rsidRPr="00EA02F0">
        <w:t xml:space="preserve">When releasing client bank account details, the Firm should make it clear that the details are to be used only for pre-agreed purposes. </w:t>
      </w:r>
    </w:p>
    <w:p w:rsidR="00EA02F0" w:rsidRDefault="00EA02F0" w:rsidP="00390775">
      <w:pPr>
        <w:pStyle w:val="Heading2"/>
        <w:ind w:firstLine="709"/>
      </w:pPr>
      <w:r>
        <w:t>Source of funds</w:t>
      </w:r>
    </w:p>
    <w:p w:rsidR="00EA02F0" w:rsidRPr="00EA02F0" w:rsidRDefault="00EA02F0" w:rsidP="00EA02F0">
      <w:pPr>
        <w:numPr>
          <w:ilvl w:val="1"/>
          <w:numId w:val="29"/>
        </w:numPr>
        <w:spacing w:after="180" w:line="280" w:lineRule="atLeast"/>
      </w:pPr>
      <w:r w:rsidRPr="00EA02F0">
        <w:t>Staff involved with the Firm</w:t>
      </w:r>
      <w:r w:rsidR="00960126">
        <w:t>’</w:t>
      </w:r>
      <w:r w:rsidRPr="00EA02F0">
        <w:t xml:space="preserve">s trust account will monitor whether funds received from clients are from credible sources. For example, it is reasonable for funds to be received from a company if the client contact person is a director of that company and has authority to use company funds for the matter. However, if funding is from a source other than the client, further inquiries are necessary. This is especially so when the client has not told us what they intend to with the funds before depositing them into the account. If the Firm decides to accept funds from a third party (perhaps because the matter is urgent), we should ask how and why the third party is helping with the funding. </w:t>
      </w:r>
    </w:p>
    <w:p w:rsidR="00EA02F0" w:rsidRPr="00EA02F0" w:rsidRDefault="00EA02F0" w:rsidP="00EA02F0">
      <w:pPr>
        <w:numPr>
          <w:ilvl w:val="1"/>
          <w:numId w:val="29"/>
        </w:numPr>
        <w:spacing w:after="180" w:line="280" w:lineRule="atLeast"/>
      </w:pPr>
      <w:r w:rsidRPr="00EA02F0">
        <w:t xml:space="preserve">We do not have to make enquiries into every source of funding from third parties. However, we must always be alert to warning signs and in some </w:t>
      </w:r>
      <w:proofErr w:type="gramStart"/>
      <w:r w:rsidRPr="00EA02F0">
        <w:t>cases</w:t>
      </w:r>
      <w:proofErr w:type="gramEnd"/>
      <w:r w:rsidRPr="00EA02F0">
        <w:t xml:space="preserve"> we will need to get more information.</w:t>
      </w:r>
    </w:p>
    <w:p w:rsidR="00EA02F0" w:rsidRPr="00EA02F0" w:rsidRDefault="00EA02F0" w:rsidP="00EA02F0">
      <w:pPr>
        <w:numPr>
          <w:ilvl w:val="1"/>
          <w:numId w:val="29"/>
        </w:numPr>
        <w:spacing w:after="180" w:line="280" w:lineRule="atLeast"/>
      </w:pPr>
      <w:r w:rsidRPr="00EA02F0">
        <w:t>In some circumstances, cleared funds will be essential for transactions and clients may want to provide cash to meet a completion deadline. In such a case, assess the risk and ask questions if necessary.</w:t>
      </w:r>
    </w:p>
    <w:p w:rsidR="00EA02F0" w:rsidRDefault="00EA02F0" w:rsidP="00EA02F0">
      <w:pPr>
        <w:pStyle w:val="Outline1"/>
      </w:pPr>
      <w:r>
        <w:t>Policy on handling cash</w:t>
      </w:r>
    </w:p>
    <w:p w:rsidR="00EA02F0" w:rsidRPr="00EA02F0" w:rsidRDefault="00EA02F0" w:rsidP="002D3BC4">
      <w:pPr>
        <w:pStyle w:val="Outline2"/>
        <w:numPr>
          <w:ilvl w:val="0"/>
          <w:numId w:val="0"/>
        </w:numPr>
        <w:ind w:left="709"/>
      </w:pPr>
      <w:r w:rsidRPr="00EA02F0">
        <w:t>Our Firm</w:t>
      </w:r>
      <w:r w:rsidR="00F551BE">
        <w:t>’</w:t>
      </w:r>
      <w:r w:rsidRPr="00EA02F0">
        <w:t xml:space="preserve">s policy is that we do not accept cash. Cash may be accepted in very limited circumstances, with the prior written approval of </w:t>
      </w:r>
      <w:bookmarkStart w:id="2" w:name="_Hlk494988551"/>
      <w:r w:rsidRPr="00EA02F0">
        <w:t>[</w:t>
      </w:r>
      <w:r w:rsidRPr="00EA02F0">
        <w:rPr>
          <w:rFonts w:cs="Arial"/>
        </w:rPr>
        <w:t>•</w:t>
      </w:r>
      <w:r w:rsidRPr="00EA02F0">
        <w:t>]</w:t>
      </w:r>
      <w:bookmarkEnd w:id="2"/>
      <w:r w:rsidRPr="00EA02F0">
        <w:t>.</w:t>
      </w:r>
    </w:p>
    <w:p w:rsidR="00EA02F0" w:rsidRDefault="00EA02F0" w:rsidP="00973666">
      <w:pPr>
        <w:pStyle w:val="Outline1"/>
      </w:pPr>
      <w:r>
        <w:t>Disclosing client account details</w:t>
      </w:r>
    </w:p>
    <w:p w:rsidR="00EA02F0" w:rsidRPr="00EA02F0" w:rsidRDefault="00EA02F0" w:rsidP="002D3BC4">
      <w:pPr>
        <w:pStyle w:val="Outline2"/>
        <w:numPr>
          <w:ilvl w:val="0"/>
          <w:numId w:val="0"/>
        </w:numPr>
        <w:ind w:left="709"/>
      </w:pPr>
      <w:r w:rsidRPr="00EA02F0">
        <w:t>Firm and client account details should only be disclosed to clients when necessary. Circulation of account details should be kept to a minimum.</w:t>
      </w:r>
    </w:p>
    <w:p w:rsidR="009A38A5" w:rsidRDefault="009A38A5" w:rsidP="00973666">
      <w:pPr>
        <w:pStyle w:val="Outline1"/>
      </w:pPr>
      <w:r>
        <w:t>Review and audit of risk assessment</w:t>
      </w:r>
    </w:p>
    <w:p w:rsidR="009A38A5" w:rsidRDefault="009A38A5" w:rsidP="009A38A5">
      <w:pPr>
        <w:pStyle w:val="Outline2"/>
      </w:pPr>
      <w:r>
        <w:t>This document needs to be subject to regular reviews to:</w:t>
      </w:r>
    </w:p>
    <w:p w:rsidR="009A38A5" w:rsidRDefault="009A38A5" w:rsidP="009A38A5">
      <w:pPr>
        <w:pStyle w:val="Outline3"/>
      </w:pPr>
      <w:r>
        <w:t>Ensure that the risk assessment is up to date; and</w:t>
      </w:r>
    </w:p>
    <w:p w:rsidR="009A38A5" w:rsidRDefault="009A38A5" w:rsidP="009A38A5">
      <w:pPr>
        <w:pStyle w:val="Outline3"/>
      </w:pPr>
      <w:r>
        <w:t>Identify any deficiencies in the effectiveness of the risk assessment; and</w:t>
      </w:r>
    </w:p>
    <w:p w:rsidR="009A38A5" w:rsidRDefault="009A38A5" w:rsidP="009A38A5">
      <w:pPr>
        <w:pStyle w:val="Outline3"/>
      </w:pPr>
      <w:r>
        <w:t xml:space="preserve">Make any changes to the risk assessment identified as being necessary. </w:t>
      </w:r>
    </w:p>
    <w:p w:rsidR="009A38A5" w:rsidRDefault="009A38A5" w:rsidP="009A38A5">
      <w:pPr>
        <w:pStyle w:val="Outline2"/>
      </w:pPr>
      <w:r>
        <w:t>[</w:t>
      </w:r>
      <w:r w:rsidRPr="00F838E2">
        <w:rPr>
          <w:highlight w:val="yellow"/>
        </w:rPr>
        <w:t xml:space="preserve">Description of how risk assessment is going to be kept up to </w:t>
      </w:r>
      <w:r w:rsidRPr="00960126">
        <w:rPr>
          <w:highlight w:val="yellow"/>
        </w:rPr>
        <w:t>date</w:t>
      </w:r>
      <w:r w:rsidR="00960126" w:rsidRPr="002D3BC4">
        <w:rPr>
          <w:highlight w:val="yellow"/>
        </w:rPr>
        <w:t xml:space="preserve"> by the Firm</w:t>
      </w:r>
      <w:r>
        <w:t xml:space="preserve">]. </w:t>
      </w:r>
    </w:p>
    <w:p w:rsidR="009A38A5" w:rsidRDefault="009A38A5" w:rsidP="009A38A5">
      <w:pPr>
        <w:pStyle w:val="Outline2"/>
      </w:pPr>
      <w:r>
        <w:t xml:space="preserve">The outcome of such reviews will dictate whether the review of related policies and procedures are also required. </w:t>
      </w:r>
    </w:p>
    <w:p w:rsidR="009A38A5" w:rsidRPr="009A38A5" w:rsidRDefault="009A38A5" w:rsidP="009A38A5">
      <w:pPr>
        <w:pStyle w:val="Outline2"/>
      </w:pPr>
      <w:r>
        <w:t xml:space="preserve">The Firm must have this risk assessment audited every 2 years by an independent, and appropriately qualified person. </w:t>
      </w:r>
    </w:p>
    <w:p w:rsidR="009A38A5" w:rsidRDefault="009A38A5" w:rsidP="00973666">
      <w:pPr>
        <w:pStyle w:val="Outline1"/>
      </w:pPr>
      <w:r>
        <w:lastRenderedPageBreak/>
        <w:t>Annual report</w:t>
      </w:r>
    </w:p>
    <w:p w:rsidR="00FC1F4B" w:rsidRDefault="009A38A5" w:rsidP="00FC1F4B">
      <w:pPr>
        <w:pStyle w:val="Outline2"/>
      </w:pPr>
      <w:r>
        <w:t xml:space="preserve">The Firm must prepare an annual report on this risk assessment. </w:t>
      </w:r>
    </w:p>
    <w:p w:rsidR="00FC1F4B" w:rsidRDefault="00FC1F4B" w:rsidP="00FC1F4B">
      <w:pPr>
        <w:pStyle w:val="Outline2"/>
      </w:pPr>
      <w:r>
        <w:t>The annual report must:</w:t>
      </w:r>
    </w:p>
    <w:p w:rsidR="00FC1F4B" w:rsidRDefault="00FC1F4B" w:rsidP="00FC1F4B">
      <w:pPr>
        <w:pStyle w:val="Outline3"/>
      </w:pPr>
      <w:r>
        <w:t>Be in the prescribed form;</w:t>
      </w:r>
    </w:p>
    <w:p w:rsidR="00FC1F4B" w:rsidRDefault="00FC1F4B" w:rsidP="00FC1F4B">
      <w:pPr>
        <w:pStyle w:val="Outline3"/>
      </w:pPr>
      <w:proofErr w:type="gramStart"/>
      <w:r>
        <w:t>Take into account</w:t>
      </w:r>
      <w:proofErr w:type="gramEnd"/>
      <w:r>
        <w:t xml:space="preserve"> the results and implications of the audit required by the Act; and</w:t>
      </w:r>
    </w:p>
    <w:p w:rsidR="00FC1F4B" w:rsidRDefault="00FC1F4B" w:rsidP="00FC1F4B">
      <w:pPr>
        <w:pStyle w:val="Outline3"/>
      </w:pPr>
      <w:r>
        <w:t xml:space="preserve">Contain any information prescribed by regulations. </w:t>
      </w:r>
    </w:p>
    <w:p w:rsidR="009A38A5" w:rsidRPr="009A38A5" w:rsidRDefault="009A38A5" w:rsidP="00FC1F4B">
      <w:pPr>
        <w:pStyle w:val="Outline2"/>
      </w:pPr>
      <w:r>
        <w:t xml:space="preserve">The Department of Internal Affairs may request a copy of such annual report at any time. </w:t>
      </w:r>
    </w:p>
    <w:p w:rsidR="00973666" w:rsidRDefault="00973666" w:rsidP="00973666">
      <w:pPr>
        <w:pStyle w:val="Outline1"/>
      </w:pPr>
      <w:r>
        <w:t>Conclusion</w:t>
      </w:r>
    </w:p>
    <w:p w:rsidR="00973666" w:rsidRDefault="00CF0C33" w:rsidP="00973666">
      <w:pPr>
        <w:pStyle w:val="Outline2"/>
      </w:pPr>
      <w:r>
        <w:t>The following points about the F</w:t>
      </w:r>
      <w:r w:rsidR="00973666">
        <w:t>irm’s approach to AML/CFT are noted:</w:t>
      </w:r>
    </w:p>
    <w:p w:rsidR="00973666" w:rsidRDefault="00CF0C33" w:rsidP="00973666">
      <w:pPr>
        <w:pStyle w:val="Outline3"/>
      </w:pPr>
      <w:r>
        <w:t>The F</w:t>
      </w:r>
      <w:r w:rsidR="00973666">
        <w:t>irm’s approach to AML/CFT is well documented.</w:t>
      </w:r>
    </w:p>
    <w:p w:rsidR="00973666" w:rsidRDefault="00CF0C33" w:rsidP="00973666">
      <w:pPr>
        <w:pStyle w:val="Outline3"/>
      </w:pPr>
      <w:r>
        <w:t>The F</w:t>
      </w:r>
      <w:r w:rsidR="00973666">
        <w:t>irm recognises the importance of the application of its AML/CFT procedures.</w:t>
      </w:r>
    </w:p>
    <w:p w:rsidR="00973666" w:rsidRDefault="00CF0C33" w:rsidP="00973666">
      <w:pPr>
        <w:pStyle w:val="Outline3"/>
      </w:pPr>
      <w:r>
        <w:t>The F</w:t>
      </w:r>
      <w:r w:rsidR="00973666">
        <w:t>irm recognises the importance of keeping its clients and its approach to ML/TF under review.</w:t>
      </w:r>
    </w:p>
    <w:p w:rsidR="00F838E2" w:rsidRDefault="00F838E2" w:rsidP="00973666">
      <w:pPr>
        <w:pStyle w:val="Outline2"/>
      </w:pPr>
      <w:r>
        <w:t>This document will be used to develop the Firm’s AML</w:t>
      </w:r>
      <w:r w:rsidR="0087155D">
        <w:t>/</w:t>
      </w:r>
      <w:r>
        <w:t xml:space="preserve">CFT programme as required by section 56 of the Act. </w:t>
      </w:r>
    </w:p>
    <w:p w:rsidR="00973666" w:rsidRDefault="00973666" w:rsidP="00973666">
      <w:pPr>
        <w:pStyle w:val="Schedule"/>
      </w:pPr>
      <w:r>
        <w:lastRenderedPageBreak/>
        <w:t>Business Risk Type Assessment</w:t>
      </w:r>
    </w:p>
    <w:p w:rsidR="00F318EA" w:rsidRDefault="00F318EA" w:rsidP="00F318EA">
      <w:pPr>
        <w:pStyle w:val="BodyText"/>
      </w:pPr>
      <w:r>
        <w:t>Risk Rating</w:t>
      </w:r>
    </w:p>
    <w:p w:rsidR="00F318EA" w:rsidRDefault="00F318EA" w:rsidP="00F318EA">
      <w:pPr>
        <w:pStyle w:val="BodyText"/>
      </w:pPr>
      <w:r>
        <w:t>‘U’ – Very unlikely: there is very little chance of ML/TF occurring in this area of the Firm.</w:t>
      </w:r>
    </w:p>
    <w:p w:rsidR="00F318EA" w:rsidRDefault="00F318EA" w:rsidP="00F318EA">
      <w:pPr>
        <w:pStyle w:val="BodyText"/>
      </w:pPr>
      <w:r>
        <w:t>‘P’ – Possible: there is a small change of ML/TF occurring in this area of the Firm (perhaps 1% of such transactions).</w:t>
      </w:r>
    </w:p>
    <w:p w:rsidR="00F318EA" w:rsidRDefault="00F318EA" w:rsidP="00F318EA">
      <w:pPr>
        <w:pStyle w:val="BodyText"/>
      </w:pPr>
      <w:r>
        <w:t>‘L’ – Likely: there is a moderate chance of ML/TF occurring in this area of the Firm (perhaps 10% of such transactions).</w:t>
      </w:r>
    </w:p>
    <w:p w:rsidR="00F318EA" w:rsidRPr="00F318EA" w:rsidRDefault="00F318EA" w:rsidP="00F318EA">
      <w:pPr>
        <w:pStyle w:val="BodyText"/>
      </w:pPr>
      <w:r>
        <w:t xml:space="preserve">‘V’ – Very likely: there is a high chance of ML/TF occurring in this area of the Firm (perhaps 20% of such transactions). </w:t>
      </w: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BA5E31" w:rsidRPr="00F944E5" w:rsidTr="00BA5E31">
        <w:trPr>
          <w:tblHeader/>
        </w:trPr>
        <w:tc>
          <w:tcPr>
            <w:tcW w:w="3174" w:type="pct"/>
            <w:tcBorders>
              <w:bottom w:val="single" w:sz="4" w:space="0" w:color="FFFFFF"/>
            </w:tcBorders>
            <w:shd w:val="clear" w:color="000000" w:fill="737373"/>
            <w:vAlign w:val="center"/>
          </w:tcPr>
          <w:p w:rsidR="00BA5E31" w:rsidRPr="00F944E5" w:rsidRDefault="00BA5E31" w:rsidP="003C3A06">
            <w:pPr>
              <w:pStyle w:val="BodyText"/>
              <w:spacing w:before="120" w:after="120"/>
              <w:rPr>
                <w:color w:val="FFFFFF"/>
              </w:rPr>
            </w:pPr>
            <w:r>
              <w:rPr>
                <w:color w:val="FFFFFF"/>
              </w:rPr>
              <w:t xml:space="preserve">Practice Area: Banking and Finance </w:t>
            </w:r>
          </w:p>
        </w:tc>
        <w:tc>
          <w:tcPr>
            <w:tcW w:w="1826" w:type="pct"/>
            <w:tcBorders>
              <w:bottom w:val="single" w:sz="4" w:space="0" w:color="FFFFFF"/>
            </w:tcBorders>
            <w:shd w:val="clear" w:color="000000" w:fill="737373"/>
            <w:vAlign w:val="center"/>
          </w:tcPr>
          <w:p w:rsidR="00BA5E31" w:rsidRPr="00F944E5" w:rsidRDefault="00BA5E31" w:rsidP="003C3A06">
            <w:pPr>
              <w:pStyle w:val="BodyText"/>
              <w:spacing w:before="120" w:after="120"/>
              <w:rPr>
                <w:color w:val="FFFFFF"/>
              </w:rPr>
            </w:pPr>
            <w:r>
              <w:rPr>
                <w:color w:val="FFFFFF"/>
              </w:rPr>
              <w:t>Risk Rating</w:t>
            </w:r>
          </w:p>
        </w:tc>
      </w:tr>
      <w:tr w:rsidR="00BA5E31" w:rsidRPr="00F944E5" w:rsidTr="00BA5E31">
        <w:tc>
          <w:tcPr>
            <w:tcW w:w="3174"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r>
      <w:tr w:rsidR="00BA5E31" w:rsidRPr="00F944E5" w:rsidTr="00BA5E31">
        <w:tc>
          <w:tcPr>
            <w:tcW w:w="3174" w:type="pct"/>
            <w:tcBorders>
              <w:top w:val="single" w:sz="4" w:space="0" w:color="FFFFFF"/>
              <w:bottom w:val="single" w:sz="4" w:space="0" w:color="FFFFFF"/>
            </w:tcBorders>
            <w:shd w:val="clear" w:color="000000" w:fill="CEE8EC"/>
          </w:tcPr>
          <w:p w:rsidR="00BA5E31" w:rsidRPr="00F944E5" w:rsidRDefault="00BA5E31" w:rsidP="003C3A06">
            <w:pPr>
              <w:pStyle w:val="BodyText"/>
              <w:spacing w:before="120" w:after="120"/>
            </w:pPr>
          </w:p>
        </w:tc>
        <w:tc>
          <w:tcPr>
            <w:tcW w:w="1826" w:type="pct"/>
            <w:tcBorders>
              <w:top w:val="single" w:sz="4" w:space="0" w:color="FFFFFF"/>
              <w:bottom w:val="single" w:sz="4" w:space="0" w:color="FFFFFF"/>
            </w:tcBorders>
            <w:shd w:val="clear" w:color="000000" w:fill="CEE8EC"/>
          </w:tcPr>
          <w:p w:rsidR="00BA5E31" w:rsidRPr="00F944E5" w:rsidRDefault="00BA5E31" w:rsidP="003C3A06">
            <w:pPr>
              <w:pStyle w:val="BodyText"/>
              <w:spacing w:before="120" w:after="120"/>
            </w:pPr>
          </w:p>
        </w:tc>
      </w:tr>
      <w:tr w:rsidR="00BA5E31" w:rsidRPr="00F944E5" w:rsidTr="00BA5E31">
        <w:tc>
          <w:tcPr>
            <w:tcW w:w="3174"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r>
      <w:tr w:rsidR="00BA5E31" w:rsidRPr="00F944E5" w:rsidTr="00BA5E31">
        <w:tc>
          <w:tcPr>
            <w:tcW w:w="3174" w:type="pct"/>
            <w:tcBorders>
              <w:top w:val="single" w:sz="4" w:space="0" w:color="FFFFFF"/>
              <w:bottom w:val="nil"/>
            </w:tcBorders>
            <w:shd w:val="clear" w:color="000000" w:fill="CEE8EC"/>
          </w:tcPr>
          <w:p w:rsidR="00BA5E31" w:rsidRPr="00F944E5" w:rsidRDefault="00BA5E31" w:rsidP="003C3A06">
            <w:pPr>
              <w:pStyle w:val="BodyText"/>
              <w:spacing w:before="120" w:after="120"/>
            </w:pPr>
          </w:p>
        </w:tc>
        <w:tc>
          <w:tcPr>
            <w:tcW w:w="1826" w:type="pct"/>
            <w:tcBorders>
              <w:top w:val="single" w:sz="4" w:space="0" w:color="FFFFFF"/>
              <w:bottom w:val="nil"/>
            </w:tcBorders>
            <w:shd w:val="clear" w:color="000000" w:fill="CEE8EC"/>
          </w:tcPr>
          <w:p w:rsidR="00BA5E31" w:rsidRPr="00F944E5" w:rsidRDefault="00BA5E31" w:rsidP="003C3A06">
            <w:pPr>
              <w:pStyle w:val="BodyText"/>
              <w:spacing w:before="120" w:after="120"/>
            </w:pPr>
          </w:p>
        </w:tc>
      </w:tr>
    </w:tbl>
    <w:p w:rsidR="00BA5E31" w:rsidRDefault="00BA5E31" w:rsidP="00973666">
      <w:pPr>
        <w:pStyle w:val="BodyText"/>
      </w:pP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BA5E31" w:rsidRPr="00F944E5" w:rsidTr="003C3A06">
        <w:trPr>
          <w:tblHeader/>
        </w:trPr>
        <w:tc>
          <w:tcPr>
            <w:tcW w:w="3174" w:type="pct"/>
            <w:tcBorders>
              <w:bottom w:val="single" w:sz="4" w:space="0" w:color="FFFFFF"/>
            </w:tcBorders>
            <w:shd w:val="clear" w:color="000000" w:fill="737373"/>
            <w:vAlign w:val="center"/>
          </w:tcPr>
          <w:p w:rsidR="00BA5E31" w:rsidRPr="00F944E5" w:rsidRDefault="00BA5E31" w:rsidP="003C3A06">
            <w:pPr>
              <w:pStyle w:val="BodyText"/>
              <w:spacing w:before="120" w:after="120"/>
              <w:rPr>
                <w:color w:val="FFFFFF"/>
              </w:rPr>
            </w:pPr>
            <w:bookmarkStart w:id="3" w:name="_Hlk494720813"/>
            <w:r>
              <w:rPr>
                <w:color w:val="FFFFFF"/>
              </w:rPr>
              <w:t>Practice Area: C</w:t>
            </w:r>
            <w:r w:rsidR="004324E9">
              <w:rPr>
                <w:color w:val="FFFFFF"/>
              </w:rPr>
              <w:t>ompany</w:t>
            </w:r>
            <w:r>
              <w:rPr>
                <w:color w:val="FFFFFF"/>
              </w:rPr>
              <w:t xml:space="preserve"> and Commercial </w:t>
            </w:r>
          </w:p>
        </w:tc>
        <w:tc>
          <w:tcPr>
            <w:tcW w:w="1826" w:type="pct"/>
            <w:tcBorders>
              <w:bottom w:val="single" w:sz="4" w:space="0" w:color="FFFFFF"/>
            </w:tcBorders>
            <w:shd w:val="clear" w:color="000000" w:fill="737373"/>
            <w:vAlign w:val="center"/>
          </w:tcPr>
          <w:p w:rsidR="00BA5E31" w:rsidRPr="00F944E5" w:rsidRDefault="00BA5E31" w:rsidP="003C3A06">
            <w:pPr>
              <w:pStyle w:val="BodyText"/>
              <w:spacing w:before="120" w:after="120"/>
              <w:rPr>
                <w:color w:val="FFFFFF"/>
              </w:rPr>
            </w:pPr>
            <w:r>
              <w:rPr>
                <w:color w:val="FFFFFF"/>
              </w:rPr>
              <w:t>Risk Rating</w:t>
            </w:r>
          </w:p>
        </w:tc>
      </w:tr>
      <w:tr w:rsidR="00BA5E31" w:rsidRPr="00F944E5" w:rsidTr="003C3A06">
        <w:tc>
          <w:tcPr>
            <w:tcW w:w="3174"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r>
      <w:tr w:rsidR="00BA5E31" w:rsidRPr="00F944E5" w:rsidTr="003C3A06">
        <w:tc>
          <w:tcPr>
            <w:tcW w:w="3174" w:type="pct"/>
            <w:tcBorders>
              <w:top w:val="single" w:sz="4" w:space="0" w:color="FFFFFF"/>
              <w:bottom w:val="single" w:sz="4" w:space="0" w:color="FFFFFF"/>
            </w:tcBorders>
            <w:shd w:val="clear" w:color="000000" w:fill="CEE8EC"/>
          </w:tcPr>
          <w:p w:rsidR="00BA5E31" w:rsidRPr="00F944E5" w:rsidRDefault="00BA5E31" w:rsidP="003C3A06">
            <w:pPr>
              <w:pStyle w:val="BodyText"/>
              <w:spacing w:before="120" w:after="120"/>
            </w:pPr>
          </w:p>
        </w:tc>
        <w:tc>
          <w:tcPr>
            <w:tcW w:w="1826" w:type="pct"/>
            <w:tcBorders>
              <w:top w:val="single" w:sz="4" w:space="0" w:color="FFFFFF"/>
              <w:bottom w:val="single" w:sz="4" w:space="0" w:color="FFFFFF"/>
            </w:tcBorders>
            <w:shd w:val="clear" w:color="000000" w:fill="CEE8EC"/>
          </w:tcPr>
          <w:p w:rsidR="00BA5E31" w:rsidRPr="00F944E5" w:rsidRDefault="00BA5E31" w:rsidP="003C3A06">
            <w:pPr>
              <w:pStyle w:val="BodyText"/>
              <w:spacing w:before="120" w:after="120"/>
            </w:pPr>
          </w:p>
        </w:tc>
      </w:tr>
      <w:tr w:rsidR="00BA5E31" w:rsidRPr="00F944E5" w:rsidTr="003C3A06">
        <w:tc>
          <w:tcPr>
            <w:tcW w:w="3174"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r>
      <w:tr w:rsidR="00BA5E31" w:rsidRPr="00F944E5" w:rsidTr="003C3A06">
        <w:tc>
          <w:tcPr>
            <w:tcW w:w="3174" w:type="pct"/>
            <w:tcBorders>
              <w:top w:val="single" w:sz="4" w:space="0" w:color="FFFFFF"/>
              <w:bottom w:val="nil"/>
            </w:tcBorders>
            <w:shd w:val="clear" w:color="000000" w:fill="CEE8EC"/>
          </w:tcPr>
          <w:p w:rsidR="00BA5E31" w:rsidRPr="00F944E5" w:rsidRDefault="00BA5E31" w:rsidP="003C3A06">
            <w:pPr>
              <w:pStyle w:val="BodyText"/>
              <w:spacing w:before="120" w:after="120"/>
            </w:pPr>
          </w:p>
        </w:tc>
        <w:tc>
          <w:tcPr>
            <w:tcW w:w="1826" w:type="pct"/>
            <w:tcBorders>
              <w:top w:val="single" w:sz="4" w:space="0" w:color="FFFFFF"/>
              <w:bottom w:val="nil"/>
            </w:tcBorders>
            <w:shd w:val="clear" w:color="000000" w:fill="CEE8EC"/>
          </w:tcPr>
          <w:p w:rsidR="00BA5E31" w:rsidRPr="00F944E5" w:rsidRDefault="00BA5E31" w:rsidP="003C3A06">
            <w:pPr>
              <w:pStyle w:val="BodyText"/>
              <w:spacing w:before="120" w:after="120"/>
            </w:pPr>
          </w:p>
        </w:tc>
      </w:tr>
      <w:bookmarkEnd w:id="3"/>
    </w:tbl>
    <w:p w:rsidR="00BA5E31" w:rsidRDefault="00BA5E31" w:rsidP="00973666">
      <w:pPr>
        <w:pStyle w:val="BodyText"/>
      </w:pP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4324E9" w:rsidRPr="00F944E5" w:rsidTr="00A3332A">
        <w:trPr>
          <w:tblHeader/>
        </w:trPr>
        <w:tc>
          <w:tcPr>
            <w:tcW w:w="3174" w:type="pct"/>
            <w:tcBorders>
              <w:bottom w:val="single" w:sz="4" w:space="0" w:color="FFFFFF"/>
            </w:tcBorders>
            <w:shd w:val="clear" w:color="000000" w:fill="737373"/>
            <w:vAlign w:val="center"/>
          </w:tcPr>
          <w:p w:rsidR="004324E9" w:rsidRPr="00F944E5" w:rsidRDefault="004324E9" w:rsidP="00A3332A">
            <w:pPr>
              <w:pStyle w:val="BodyText"/>
              <w:spacing w:before="120" w:after="120"/>
              <w:rPr>
                <w:color w:val="FFFFFF"/>
              </w:rPr>
            </w:pPr>
            <w:r>
              <w:rPr>
                <w:color w:val="FFFFFF"/>
              </w:rPr>
              <w:t xml:space="preserve">Practice Area: Civil Litigation </w:t>
            </w:r>
          </w:p>
        </w:tc>
        <w:tc>
          <w:tcPr>
            <w:tcW w:w="1826" w:type="pct"/>
            <w:tcBorders>
              <w:bottom w:val="single" w:sz="4" w:space="0" w:color="FFFFFF"/>
            </w:tcBorders>
            <w:shd w:val="clear" w:color="000000" w:fill="737373"/>
            <w:vAlign w:val="center"/>
          </w:tcPr>
          <w:p w:rsidR="004324E9" w:rsidRPr="00F944E5" w:rsidRDefault="004324E9" w:rsidP="00A3332A">
            <w:pPr>
              <w:pStyle w:val="BodyText"/>
              <w:spacing w:before="120" w:after="120"/>
              <w:rPr>
                <w:color w:val="FFFFFF"/>
              </w:rPr>
            </w:pPr>
            <w:r>
              <w:rPr>
                <w:color w:val="FFFFFF"/>
              </w:rPr>
              <w:t>Risk Rating</w:t>
            </w:r>
          </w:p>
        </w:tc>
      </w:tr>
      <w:tr w:rsidR="004324E9" w:rsidRPr="00F944E5" w:rsidTr="00A3332A">
        <w:tc>
          <w:tcPr>
            <w:tcW w:w="3174"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single" w:sz="4" w:space="0" w:color="FFFFFF"/>
            </w:tcBorders>
            <w:shd w:val="clear" w:color="000000" w:fill="CEE8EC"/>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CEE8EC"/>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nil"/>
            </w:tcBorders>
            <w:shd w:val="clear" w:color="000000" w:fill="CEE8EC"/>
          </w:tcPr>
          <w:p w:rsidR="004324E9" w:rsidRPr="00F944E5" w:rsidRDefault="004324E9" w:rsidP="00A3332A">
            <w:pPr>
              <w:pStyle w:val="BodyText"/>
              <w:spacing w:before="120" w:after="120"/>
            </w:pPr>
          </w:p>
        </w:tc>
        <w:tc>
          <w:tcPr>
            <w:tcW w:w="1826" w:type="pct"/>
            <w:tcBorders>
              <w:top w:val="single" w:sz="4" w:space="0" w:color="FFFFFF"/>
              <w:bottom w:val="nil"/>
            </w:tcBorders>
            <w:shd w:val="clear" w:color="000000" w:fill="CEE8EC"/>
          </w:tcPr>
          <w:p w:rsidR="004324E9" w:rsidRPr="00F944E5" w:rsidRDefault="004324E9" w:rsidP="00A3332A">
            <w:pPr>
              <w:pStyle w:val="BodyText"/>
              <w:spacing w:before="120" w:after="120"/>
            </w:pPr>
          </w:p>
        </w:tc>
      </w:tr>
    </w:tbl>
    <w:p w:rsidR="004324E9" w:rsidRDefault="004324E9" w:rsidP="00973666">
      <w:pPr>
        <w:pStyle w:val="BodyText"/>
      </w:pPr>
    </w:p>
    <w:p w:rsidR="004324E9" w:rsidRDefault="004324E9" w:rsidP="00973666">
      <w:pPr>
        <w:pStyle w:val="BodyText"/>
      </w:pP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4324E9" w:rsidRPr="00F944E5" w:rsidTr="00A3332A">
        <w:trPr>
          <w:tblHeader/>
        </w:trPr>
        <w:tc>
          <w:tcPr>
            <w:tcW w:w="3174" w:type="pct"/>
            <w:tcBorders>
              <w:bottom w:val="single" w:sz="4" w:space="0" w:color="FFFFFF"/>
            </w:tcBorders>
            <w:shd w:val="clear" w:color="000000" w:fill="737373"/>
            <w:vAlign w:val="center"/>
          </w:tcPr>
          <w:p w:rsidR="004324E9" w:rsidRPr="00F944E5" w:rsidRDefault="004324E9" w:rsidP="00A3332A">
            <w:pPr>
              <w:pStyle w:val="BodyText"/>
              <w:spacing w:before="120" w:after="120"/>
              <w:rPr>
                <w:color w:val="FFFFFF"/>
              </w:rPr>
            </w:pPr>
            <w:r>
              <w:rPr>
                <w:color w:val="FFFFFF"/>
              </w:rPr>
              <w:lastRenderedPageBreak/>
              <w:t xml:space="preserve">Practice Area: Criminal </w:t>
            </w:r>
          </w:p>
        </w:tc>
        <w:tc>
          <w:tcPr>
            <w:tcW w:w="1826" w:type="pct"/>
            <w:tcBorders>
              <w:bottom w:val="single" w:sz="4" w:space="0" w:color="FFFFFF"/>
            </w:tcBorders>
            <w:shd w:val="clear" w:color="000000" w:fill="737373"/>
            <w:vAlign w:val="center"/>
          </w:tcPr>
          <w:p w:rsidR="004324E9" w:rsidRPr="00F944E5" w:rsidRDefault="004324E9" w:rsidP="00A3332A">
            <w:pPr>
              <w:pStyle w:val="BodyText"/>
              <w:spacing w:before="120" w:after="120"/>
              <w:rPr>
                <w:color w:val="FFFFFF"/>
              </w:rPr>
            </w:pPr>
            <w:r>
              <w:rPr>
                <w:color w:val="FFFFFF"/>
              </w:rPr>
              <w:t>Risk Rating</w:t>
            </w:r>
          </w:p>
        </w:tc>
      </w:tr>
      <w:tr w:rsidR="004324E9" w:rsidRPr="00F944E5" w:rsidTr="00A3332A">
        <w:tc>
          <w:tcPr>
            <w:tcW w:w="3174"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single" w:sz="4" w:space="0" w:color="FFFFFF"/>
            </w:tcBorders>
            <w:shd w:val="clear" w:color="000000" w:fill="CEE8EC"/>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CEE8EC"/>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nil"/>
            </w:tcBorders>
            <w:shd w:val="clear" w:color="000000" w:fill="CEE8EC"/>
          </w:tcPr>
          <w:p w:rsidR="004324E9" w:rsidRPr="00F944E5" w:rsidRDefault="004324E9" w:rsidP="00A3332A">
            <w:pPr>
              <w:pStyle w:val="BodyText"/>
              <w:spacing w:before="120" w:after="120"/>
            </w:pPr>
          </w:p>
        </w:tc>
        <w:tc>
          <w:tcPr>
            <w:tcW w:w="1826" w:type="pct"/>
            <w:tcBorders>
              <w:top w:val="single" w:sz="4" w:space="0" w:color="FFFFFF"/>
              <w:bottom w:val="nil"/>
            </w:tcBorders>
            <w:shd w:val="clear" w:color="000000" w:fill="CEE8EC"/>
          </w:tcPr>
          <w:p w:rsidR="004324E9" w:rsidRPr="00F944E5" w:rsidRDefault="004324E9" w:rsidP="00A3332A">
            <w:pPr>
              <w:pStyle w:val="BodyText"/>
              <w:spacing w:before="120" w:after="120"/>
            </w:pPr>
          </w:p>
        </w:tc>
      </w:tr>
    </w:tbl>
    <w:p w:rsidR="00BA5E31" w:rsidRDefault="00BA5E31" w:rsidP="00973666">
      <w:pPr>
        <w:pStyle w:val="BodyText"/>
      </w:pP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BA5E31" w:rsidRPr="00F944E5" w:rsidTr="003C3A06">
        <w:trPr>
          <w:tblHeader/>
        </w:trPr>
        <w:tc>
          <w:tcPr>
            <w:tcW w:w="3174" w:type="pct"/>
            <w:tcBorders>
              <w:bottom w:val="single" w:sz="4" w:space="0" w:color="FFFFFF"/>
            </w:tcBorders>
            <w:shd w:val="clear" w:color="000000" w:fill="737373"/>
            <w:vAlign w:val="center"/>
          </w:tcPr>
          <w:p w:rsidR="00BA5E31" w:rsidRPr="00F944E5" w:rsidRDefault="00BA5E31" w:rsidP="003C3A06">
            <w:pPr>
              <w:pStyle w:val="BodyText"/>
              <w:spacing w:before="120" w:after="120"/>
              <w:rPr>
                <w:color w:val="FFFFFF"/>
              </w:rPr>
            </w:pPr>
            <w:r>
              <w:rPr>
                <w:color w:val="FFFFFF"/>
              </w:rPr>
              <w:t xml:space="preserve">Practice Area: </w:t>
            </w:r>
            <w:r w:rsidR="0006659F">
              <w:rPr>
                <w:color w:val="FFFFFF"/>
              </w:rPr>
              <w:t>Employment</w:t>
            </w:r>
          </w:p>
        </w:tc>
        <w:tc>
          <w:tcPr>
            <w:tcW w:w="1826" w:type="pct"/>
            <w:tcBorders>
              <w:bottom w:val="single" w:sz="4" w:space="0" w:color="FFFFFF"/>
            </w:tcBorders>
            <w:shd w:val="clear" w:color="000000" w:fill="737373"/>
            <w:vAlign w:val="center"/>
          </w:tcPr>
          <w:p w:rsidR="00BA5E31" w:rsidRPr="00F944E5" w:rsidRDefault="00BA5E31" w:rsidP="003C3A06">
            <w:pPr>
              <w:pStyle w:val="BodyText"/>
              <w:spacing w:before="120" w:after="120"/>
              <w:rPr>
                <w:color w:val="FFFFFF"/>
              </w:rPr>
            </w:pPr>
            <w:r>
              <w:rPr>
                <w:color w:val="FFFFFF"/>
              </w:rPr>
              <w:t>Risk Rating</w:t>
            </w:r>
          </w:p>
        </w:tc>
      </w:tr>
      <w:tr w:rsidR="00BA5E31" w:rsidRPr="00F944E5" w:rsidTr="003C3A06">
        <w:tc>
          <w:tcPr>
            <w:tcW w:w="3174"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r>
      <w:tr w:rsidR="00BA5E31" w:rsidRPr="00F944E5" w:rsidTr="003C3A06">
        <w:tc>
          <w:tcPr>
            <w:tcW w:w="3174" w:type="pct"/>
            <w:tcBorders>
              <w:top w:val="single" w:sz="4" w:space="0" w:color="FFFFFF"/>
              <w:bottom w:val="single" w:sz="4" w:space="0" w:color="FFFFFF"/>
            </w:tcBorders>
            <w:shd w:val="clear" w:color="000000" w:fill="CEE8EC"/>
          </w:tcPr>
          <w:p w:rsidR="00BA5E31" w:rsidRPr="00F944E5" w:rsidRDefault="00BA5E31" w:rsidP="003C3A06">
            <w:pPr>
              <w:pStyle w:val="BodyText"/>
              <w:spacing w:before="120" w:after="120"/>
            </w:pPr>
          </w:p>
        </w:tc>
        <w:tc>
          <w:tcPr>
            <w:tcW w:w="1826" w:type="pct"/>
            <w:tcBorders>
              <w:top w:val="single" w:sz="4" w:space="0" w:color="FFFFFF"/>
              <w:bottom w:val="single" w:sz="4" w:space="0" w:color="FFFFFF"/>
            </w:tcBorders>
            <w:shd w:val="clear" w:color="000000" w:fill="CEE8EC"/>
          </w:tcPr>
          <w:p w:rsidR="00BA5E31" w:rsidRPr="00F944E5" w:rsidRDefault="00BA5E31" w:rsidP="003C3A06">
            <w:pPr>
              <w:pStyle w:val="BodyText"/>
              <w:spacing w:before="120" w:after="120"/>
            </w:pPr>
          </w:p>
        </w:tc>
      </w:tr>
      <w:tr w:rsidR="00BA5E31" w:rsidRPr="00F944E5" w:rsidTr="003C3A06">
        <w:tc>
          <w:tcPr>
            <w:tcW w:w="3174"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BA5E31" w:rsidRPr="00F944E5" w:rsidRDefault="00BA5E31" w:rsidP="003C3A06">
            <w:pPr>
              <w:pStyle w:val="BodyText"/>
              <w:spacing w:before="120" w:after="120"/>
            </w:pPr>
          </w:p>
        </w:tc>
      </w:tr>
      <w:tr w:rsidR="00BA5E31" w:rsidRPr="00F944E5" w:rsidTr="003C3A06">
        <w:tc>
          <w:tcPr>
            <w:tcW w:w="3174" w:type="pct"/>
            <w:tcBorders>
              <w:top w:val="single" w:sz="4" w:space="0" w:color="FFFFFF"/>
              <w:bottom w:val="nil"/>
            </w:tcBorders>
            <w:shd w:val="clear" w:color="000000" w:fill="CEE8EC"/>
          </w:tcPr>
          <w:p w:rsidR="00BA5E31" w:rsidRPr="00F944E5" w:rsidRDefault="00BA5E31" w:rsidP="003C3A06">
            <w:pPr>
              <w:pStyle w:val="BodyText"/>
              <w:spacing w:before="120" w:after="120"/>
            </w:pPr>
          </w:p>
        </w:tc>
        <w:tc>
          <w:tcPr>
            <w:tcW w:w="1826" w:type="pct"/>
            <w:tcBorders>
              <w:top w:val="single" w:sz="4" w:space="0" w:color="FFFFFF"/>
              <w:bottom w:val="nil"/>
            </w:tcBorders>
            <w:shd w:val="clear" w:color="000000" w:fill="CEE8EC"/>
          </w:tcPr>
          <w:p w:rsidR="00BA5E31" w:rsidRPr="00F944E5" w:rsidRDefault="00BA5E31" w:rsidP="003C3A06">
            <w:pPr>
              <w:pStyle w:val="BodyText"/>
              <w:spacing w:before="120" w:after="120"/>
            </w:pPr>
          </w:p>
        </w:tc>
      </w:tr>
    </w:tbl>
    <w:p w:rsidR="0006659F" w:rsidRDefault="0006659F" w:rsidP="00973666">
      <w:pPr>
        <w:pStyle w:val="BodyText"/>
      </w:pP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4324E9" w:rsidRPr="00F944E5" w:rsidTr="00A3332A">
        <w:trPr>
          <w:tblHeader/>
        </w:trPr>
        <w:tc>
          <w:tcPr>
            <w:tcW w:w="3174" w:type="pct"/>
            <w:tcBorders>
              <w:bottom w:val="single" w:sz="4" w:space="0" w:color="FFFFFF"/>
            </w:tcBorders>
            <w:shd w:val="clear" w:color="000000" w:fill="737373"/>
            <w:vAlign w:val="center"/>
          </w:tcPr>
          <w:p w:rsidR="004324E9" w:rsidRPr="00F944E5" w:rsidRDefault="004324E9" w:rsidP="00A3332A">
            <w:pPr>
              <w:pStyle w:val="BodyText"/>
              <w:spacing w:before="120" w:after="120"/>
              <w:rPr>
                <w:color w:val="FFFFFF"/>
              </w:rPr>
            </w:pPr>
            <w:r>
              <w:rPr>
                <w:color w:val="FFFFFF"/>
              </w:rPr>
              <w:t xml:space="preserve">Practice Area: Family </w:t>
            </w:r>
          </w:p>
        </w:tc>
        <w:tc>
          <w:tcPr>
            <w:tcW w:w="1826" w:type="pct"/>
            <w:tcBorders>
              <w:bottom w:val="single" w:sz="4" w:space="0" w:color="FFFFFF"/>
            </w:tcBorders>
            <w:shd w:val="clear" w:color="000000" w:fill="737373"/>
            <w:vAlign w:val="center"/>
          </w:tcPr>
          <w:p w:rsidR="004324E9" w:rsidRPr="00F944E5" w:rsidRDefault="004324E9" w:rsidP="00A3332A">
            <w:pPr>
              <w:pStyle w:val="BodyText"/>
              <w:spacing w:before="120" w:after="120"/>
              <w:rPr>
                <w:color w:val="FFFFFF"/>
              </w:rPr>
            </w:pPr>
            <w:r>
              <w:rPr>
                <w:color w:val="FFFFFF"/>
              </w:rPr>
              <w:t>Risk Rating</w:t>
            </w:r>
          </w:p>
        </w:tc>
      </w:tr>
      <w:tr w:rsidR="004324E9" w:rsidRPr="00F944E5" w:rsidTr="00A3332A">
        <w:tc>
          <w:tcPr>
            <w:tcW w:w="3174"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single" w:sz="4" w:space="0" w:color="FFFFFF"/>
            </w:tcBorders>
            <w:shd w:val="clear" w:color="000000" w:fill="CEE8EC"/>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CEE8EC"/>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nil"/>
            </w:tcBorders>
            <w:shd w:val="clear" w:color="000000" w:fill="CEE8EC"/>
          </w:tcPr>
          <w:p w:rsidR="004324E9" w:rsidRPr="00F944E5" w:rsidRDefault="004324E9" w:rsidP="00A3332A">
            <w:pPr>
              <w:pStyle w:val="BodyText"/>
              <w:spacing w:before="120" w:after="120"/>
            </w:pPr>
          </w:p>
        </w:tc>
        <w:tc>
          <w:tcPr>
            <w:tcW w:w="1826" w:type="pct"/>
            <w:tcBorders>
              <w:top w:val="single" w:sz="4" w:space="0" w:color="FFFFFF"/>
              <w:bottom w:val="nil"/>
            </w:tcBorders>
            <w:shd w:val="clear" w:color="000000" w:fill="CEE8EC"/>
          </w:tcPr>
          <w:p w:rsidR="004324E9" w:rsidRPr="00F944E5" w:rsidRDefault="004324E9" w:rsidP="00A3332A">
            <w:pPr>
              <w:pStyle w:val="BodyText"/>
              <w:spacing w:before="120" w:after="120"/>
            </w:pPr>
          </w:p>
        </w:tc>
      </w:tr>
    </w:tbl>
    <w:p w:rsidR="0006659F" w:rsidRDefault="0006659F" w:rsidP="00973666">
      <w:pPr>
        <w:pStyle w:val="BodyText"/>
      </w:pP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06659F" w:rsidRPr="00F944E5" w:rsidTr="003C3A06">
        <w:trPr>
          <w:tblHeader/>
        </w:trPr>
        <w:tc>
          <w:tcPr>
            <w:tcW w:w="3174" w:type="pct"/>
            <w:tcBorders>
              <w:bottom w:val="single" w:sz="4" w:space="0" w:color="FFFFFF"/>
            </w:tcBorders>
            <w:shd w:val="clear" w:color="000000" w:fill="737373"/>
            <w:vAlign w:val="center"/>
          </w:tcPr>
          <w:p w:rsidR="0006659F" w:rsidRPr="00F944E5" w:rsidRDefault="0006659F" w:rsidP="003C3A06">
            <w:pPr>
              <w:pStyle w:val="BodyText"/>
              <w:spacing w:before="120" w:after="120"/>
              <w:rPr>
                <w:color w:val="FFFFFF"/>
              </w:rPr>
            </w:pPr>
            <w:r>
              <w:rPr>
                <w:color w:val="FFFFFF"/>
              </w:rPr>
              <w:t>Practice Area: Intellectual Property</w:t>
            </w:r>
          </w:p>
        </w:tc>
        <w:tc>
          <w:tcPr>
            <w:tcW w:w="1826" w:type="pct"/>
            <w:tcBorders>
              <w:bottom w:val="single" w:sz="4" w:space="0" w:color="FFFFFF"/>
            </w:tcBorders>
            <w:shd w:val="clear" w:color="000000" w:fill="737373"/>
            <w:vAlign w:val="center"/>
          </w:tcPr>
          <w:p w:rsidR="0006659F" w:rsidRPr="00F944E5" w:rsidRDefault="0006659F" w:rsidP="003C3A06">
            <w:pPr>
              <w:pStyle w:val="BodyText"/>
              <w:spacing w:before="120" w:after="120"/>
              <w:rPr>
                <w:color w:val="FFFFFF"/>
              </w:rPr>
            </w:pPr>
            <w:r>
              <w:rPr>
                <w:color w:val="FFFFFF"/>
              </w:rPr>
              <w:t>Risk Rating</w:t>
            </w:r>
          </w:p>
        </w:tc>
      </w:tr>
      <w:tr w:rsidR="0006659F" w:rsidRPr="00F944E5" w:rsidTr="003C3A06">
        <w:tc>
          <w:tcPr>
            <w:tcW w:w="3174"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single" w:sz="4" w:space="0" w:color="FFFFFF"/>
            </w:tcBorders>
            <w:shd w:val="clear" w:color="000000" w:fill="CEE8EC"/>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CEE8EC"/>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nil"/>
            </w:tcBorders>
            <w:shd w:val="clear" w:color="000000" w:fill="CEE8EC"/>
          </w:tcPr>
          <w:p w:rsidR="0006659F" w:rsidRPr="00F944E5" w:rsidRDefault="0006659F" w:rsidP="003C3A06">
            <w:pPr>
              <w:pStyle w:val="BodyText"/>
              <w:spacing w:before="120" w:after="120"/>
            </w:pPr>
          </w:p>
        </w:tc>
        <w:tc>
          <w:tcPr>
            <w:tcW w:w="1826" w:type="pct"/>
            <w:tcBorders>
              <w:top w:val="single" w:sz="4" w:space="0" w:color="FFFFFF"/>
              <w:bottom w:val="nil"/>
            </w:tcBorders>
            <w:shd w:val="clear" w:color="000000" w:fill="CEE8EC"/>
          </w:tcPr>
          <w:p w:rsidR="0006659F" w:rsidRPr="00F944E5" w:rsidRDefault="0006659F" w:rsidP="003C3A06">
            <w:pPr>
              <w:pStyle w:val="BodyText"/>
              <w:spacing w:before="120" w:after="120"/>
            </w:pPr>
          </w:p>
        </w:tc>
      </w:tr>
    </w:tbl>
    <w:p w:rsidR="0006659F" w:rsidRDefault="0006659F" w:rsidP="00973666">
      <w:pPr>
        <w:pStyle w:val="BodyText"/>
      </w:pP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4324E9" w:rsidRPr="00F944E5" w:rsidTr="00A3332A">
        <w:trPr>
          <w:tblHeader/>
        </w:trPr>
        <w:tc>
          <w:tcPr>
            <w:tcW w:w="3174" w:type="pct"/>
            <w:tcBorders>
              <w:bottom w:val="single" w:sz="4" w:space="0" w:color="FFFFFF"/>
            </w:tcBorders>
            <w:shd w:val="clear" w:color="000000" w:fill="737373"/>
            <w:vAlign w:val="center"/>
          </w:tcPr>
          <w:p w:rsidR="004324E9" w:rsidRPr="00F944E5" w:rsidRDefault="004324E9" w:rsidP="00A3332A">
            <w:pPr>
              <w:pStyle w:val="BodyText"/>
              <w:spacing w:before="120" w:after="120"/>
              <w:rPr>
                <w:color w:val="FFFFFF"/>
              </w:rPr>
            </w:pPr>
            <w:r>
              <w:rPr>
                <w:color w:val="FFFFFF"/>
              </w:rPr>
              <w:t xml:space="preserve">Practice Area: Resource Management </w:t>
            </w:r>
          </w:p>
        </w:tc>
        <w:tc>
          <w:tcPr>
            <w:tcW w:w="1826" w:type="pct"/>
            <w:tcBorders>
              <w:bottom w:val="single" w:sz="4" w:space="0" w:color="FFFFFF"/>
            </w:tcBorders>
            <w:shd w:val="clear" w:color="000000" w:fill="737373"/>
            <w:vAlign w:val="center"/>
          </w:tcPr>
          <w:p w:rsidR="004324E9" w:rsidRPr="00F944E5" w:rsidRDefault="004324E9" w:rsidP="00A3332A">
            <w:pPr>
              <w:pStyle w:val="BodyText"/>
              <w:spacing w:before="120" w:after="120"/>
              <w:rPr>
                <w:color w:val="FFFFFF"/>
              </w:rPr>
            </w:pPr>
            <w:r>
              <w:rPr>
                <w:color w:val="FFFFFF"/>
              </w:rPr>
              <w:t>Risk Rating</w:t>
            </w:r>
          </w:p>
        </w:tc>
      </w:tr>
      <w:tr w:rsidR="004324E9" w:rsidRPr="00F944E5" w:rsidTr="00A3332A">
        <w:tc>
          <w:tcPr>
            <w:tcW w:w="3174"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single" w:sz="4" w:space="0" w:color="FFFFFF"/>
            </w:tcBorders>
            <w:shd w:val="clear" w:color="000000" w:fill="CEE8EC"/>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CEE8EC"/>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nil"/>
            </w:tcBorders>
            <w:shd w:val="clear" w:color="000000" w:fill="CEE8EC"/>
          </w:tcPr>
          <w:p w:rsidR="004324E9" w:rsidRPr="00F944E5" w:rsidRDefault="004324E9" w:rsidP="00A3332A">
            <w:pPr>
              <w:pStyle w:val="BodyText"/>
              <w:spacing w:before="120" w:after="120"/>
            </w:pPr>
          </w:p>
        </w:tc>
        <w:tc>
          <w:tcPr>
            <w:tcW w:w="1826" w:type="pct"/>
            <w:tcBorders>
              <w:top w:val="single" w:sz="4" w:space="0" w:color="FFFFFF"/>
              <w:bottom w:val="nil"/>
            </w:tcBorders>
            <w:shd w:val="clear" w:color="000000" w:fill="CEE8EC"/>
          </w:tcPr>
          <w:p w:rsidR="004324E9" w:rsidRPr="00F944E5" w:rsidRDefault="004324E9" w:rsidP="00A3332A">
            <w:pPr>
              <w:pStyle w:val="BodyText"/>
              <w:spacing w:before="120" w:after="120"/>
            </w:pPr>
          </w:p>
        </w:tc>
      </w:tr>
    </w:tbl>
    <w:p w:rsidR="004324E9" w:rsidRDefault="004324E9" w:rsidP="00973666">
      <w:pPr>
        <w:pStyle w:val="BodyText"/>
      </w:pP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4324E9" w:rsidRPr="00F944E5" w:rsidTr="00A3332A">
        <w:trPr>
          <w:tblHeader/>
        </w:trPr>
        <w:tc>
          <w:tcPr>
            <w:tcW w:w="3174" w:type="pct"/>
            <w:tcBorders>
              <w:bottom w:val="single" w:sz="4" w:space="0" w:color="FFFFFF"/>
            </w:tcBorders>
            <w:shd w:val="clear" w:color="000000" w:fill="737373"/>
            <w:vAlign w:val="center"/>
          </w:tcPr>
          <w:p w:rsidR="004324E9" w:rsidRPr="00F944E5" w:rsidRDefault="004324E9" w:rsidP="00A3332A">
            <w:pPr>
              <w:pStyle w:val="BodyText"/>
              <w:spacing w:before="120" w:after="120"/>
              <w:rPr>
                <w:color w:val="FFFFFF"/>
              </w:rPr>
            </w:pPr>
            <w:r>
              <w:rPr>
                <w:color w:val="FFFFFF"/>
              </w:rPr>
              <w:t xml:space="preserve">Practice Area: Tax </w:t>
            </w:r>
          </w:p>
        </w:tc>
        <w:tc>
          <w:tcPr>
            <w:tcW w:w="1826" w:type="pct"/>
            <w:tcBorders>
              <w:bottom w:val="single" w:sz="4" w:space="0" w:color="FFFFFF"/>
            </w:tcBorders>
            <w:shd w:val="clear" w:color="000000" w:fill="737373"/>
            <w:vAlign w:val="center"/>
          </w:tcPr>
          <w:p w:rsidR="004324E9" w:rsidRPr="00F944E5" w:rsidRDefault="004324E9" w:rsidP="00A3332A">
            <w:pPr>
              <w:pStyle w:val="BodyText"/>
              <w:spacing w:before="120" w:after="120"/>
              <w:rPr>
                <w:color w:val="FFFFFF"/>
              </w:rPr>
            </w:pPr>
            <w:r>
              <w:rPr>
                <w:color w:val="FFFFFF"/>
              </w:rPr>
              <w:t>Risk Rating</w:t>
            </w:r>
          </w:p>
        </w:tc>
      </w:tr>
      <w:tr w:rsidR="004324E9" w:rsidRPr="00F944E5" w:rsidTr="00A3332A">
        <w:tc>
          <w:tcPr>
            <w:tcW w:w="3174"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single" w:sz="4" w:space="0" w:color="FFFFFF"/>
            </w:tcBorders>
            <w:shd w:val="clear" w:color="000000" w:fill="CEE8EC"/>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CEE8EC"/>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c>
          <w:tcPr>
            <w:tcW w:w="1826" w:type="pct"/>
            <w:tcBorders>
              <w:top w:val="single" w:sz="4" w:space="0" w:color="FFFFFF"/>
              <w:bottom w:val="single" w:sz="4" w:space="0" w:color="FFFFFF"/>
            </w:tcBorders>
            <w:shd w:val="clear" w:color="000000" w:fill="9DD1D9"/>
          </w:tcPr>
          <w:p w:rsidR="004324E9" w:rsidRPr="00F944E5" w:rsidRDefault="004324E9" w:rsidP="00A3332A">
            <w:pPr>
              <w:pStyle w:val="BodyText"/>
              <w:spacing w:before="120" w:after="120"/>
            </w:pPr>
          </w:p>
        </w:tc>
      </w:tr>
      <w:tr w:rsidR="004324E9" w:rsidRPr="00F944E5" w:rsidTr="00A3332A">
        <w:tc>
          <w:tcPr>
            <w:tcW w:w="3174" w:type="pct"/>
            <w:tcBorders>
              <w:top w:val="single" w:sz="4" w:space="0" w:color="FFFFFF"/>
              <w:bottom w:val="nil"/>
            </w:tcBorders>
            <w:shd w:val="clear" w:color="000000" w:fill="CEE8EC"/>
          </w:tcPr>
          <w:p w:rsidR="004324E9" w:rsidRPr="00F944E5" w:rsidRDefault="004324E9" w:rsidP="00A3332A">
            <w:pPr>
              <w:pStyle w:val="BodyText"/>
              <w:spacing w:before="120" w:after="120"/>
            </w:pPr>
          </w:p>
        </w:tc>
        <w:tc>
          <w:tcPr>
            <w:tcW w:w="1826" w:type="pct"/>
            <w:tcBorders>
              <w:top w:val="single" w:sz="4" w:space="0" w:color="FFFFFF"/>
              <w:bottom w:val="nil"/>
            </w:tcBorders>
            <w:shd w:val="clear" w:color="000000" w:fill="CEE8EC"/>
          </w:tcPr>
          <w:p w:rsidR="004324E9" w:rsidRPr="00F944E5" w:rsidRDefault="004324E9" w:rsidP="00A3332A">
            <w:pPr>
              <w:pStyle w:val="BodyText"/>
              <w:spacing w:before="120" w:after="120"/>
            </w:pPr>
          </w:p>
        </w:tc>
      </w:tr>
    </w:tbl>
    <w:p w:rsidR="004324E9" w:rsidRDefault="004324E9" w:rsidP="00973666">
      <w:pPr>
        <w:pStyle w:val="BodyText"/>
      </w:pP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06659F" w:rsidRPr="00F944E5" w:rsidTr="003C3A06">
        <w:trPr>
          <w:tblHeader/>
        </w:trPr>
        <w:tc>
          <w:tcPr>
            <w:tcW w:w="3174" w:type="pct"/>
            <w:tcBorders>
              <w:bottom w:val="single" w:sz="4" w:space="0" w:color="FFFFFF"/>
            </w:tcBorders>
            <w:shd w:val="clear" w:color="000000" w:fill="737373"/>
            <w:vAlign w:val="center"/>
          </w:tcPr>
          <w:p w:rsidR="0006659F" w:rsidRPr="00F944E5" w:rsidRDefault="0006659F" w:rsidP="003C3A06">
            <w:pPr>
              <w:pStyle w:val="BodyText"/>
              <w:spacing w:before="120" w:after="120"/>
              <w:rPr>
                <w:color w:val="FFFFFF"/>
              </w:rPr>
            </w:pPr>
            <w:r>
              <w:rPr>
                <w:color w:val="FFFFFF"/>
              </w:rPr>
              <w:t xml:space="preserve">Practice Area: </w:t>
            </w:r>
            <w:r w:rsidR="004324E9">
              <w:rPr>
                <w:color w:val="FFFFFF"/>
              </w:rPr>
              <w:t>Trusts and Estates</w:t>
            </w:r>
          </w:p>
        </w:tc>
        <w:tc>
          <w:tcPr>
            <w:tcW w:w="1826" w:type="pct"/>
            <w:tcBorders>
              <w:bottom w:val="single" w:sz="4" w:space="0" w:color="FFFFFF"/>
            </w:tcBorders>
            <w:shd w:val="clear" w:color="000000" w:fill="737373"/>
            <w:vAlign w:val="center"/>
          </w:tcPr>
          <w:p w:rsidR="0006659F" w:rsidRPr="00F944E5" w:rsidRDefault="0006659F" w:rsidP="003C3A06">
            <w:pPr>
              <w:pStyle w:val="BodyText"/>
              <w:spacing w:before="120" w:after="120"/>
              <w:rPr>
                <w:color w:val="FFFFFF"/>
              </w:rPr>
            </w:pPr>
            <w:r>
              <w:rPr>
                <w:color w:val="FFFFFF"/>
              </w:rPr>
              <w:t>Risk Rating</w:t>
            </w:r>
          </w:p>
        </w:tc>
      </w:tr>
      <w:tr w:rsidR="0006659F" w:rsidRPr="00F944E5" w:rsidTr="003C3A06">
        <w:tc>
          <w:tcPr>
            <w:tcW w:w="3174"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single" w:sz="4" w:space="0" w:color="FFFFFF"/>
            </w:tcBorders>
            <w:shd w:val="clear" w:color="000000" w:fill="CEE8EC"/>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CEE8EC"/>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nil"/>
            </w:tcBorders>
            <w:shd w:val="clear" w:color="000000" w:fill="CEE8EC"/>
          </w:tcPr>
          <w:p w:rsidR="0006659F" w:rsidRPr="00F944E5" w:rsidRDefault="0006659F" w:rsidP="003C3A06">
            <w:pPr>
              <w:pStyle w:val="BodyText"/>
              <w:spacing w:before="120" w:after="120"/>
            </w:pPr>
          </w:p>
        </w:tc>
        <w:tc>
          <w:tcPr>
            <w:tcW w:w="1826" w:type="pct"/>
            <w:tcBorders>
              <w:top w:val="single" w:sz="4" w:space="0" w:color="FFFFFF"/>
              <w:bottom w:val="nil"/>
            </w:tcBorders>
            <w:shd w:val="clear" w:color="000000" w:fill="CEE8EC"/>
          </w:tcPr>
          <w:p w:rsidR="0006659F" w:rsidRPr="00F944E5" w:rsidRDefault="0006659F" w:rsidP="003C3A06">
            <w:pPr>
              <w:pStyle w:val="BodyText"/>
              <w:spacing w:before="120" w:after="120"/>
            </w:pPr>
          </w:p>
        </w:tc>
      </w:tr>
    </w:tbl>
    <w:p w:rsidR="0006659F" w:rsidRDefault="0006659F" w:rsidP="00973666">
      <w:pPr>
        <w:pStyle w:val="BodyText"/>
      </w:pP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06659F" w:rsidRPr="00F944E5" w:rsidTr="003C3A06">
        <w:trPr>
          <w:tblHeader/>
        </w:trPr>
        <w:tc>
          <w:tcPr>
            <w:tcW w:w="3174" w:type="pct"/>
            <w:tcBorders>
              <w:bottom w:val="single" w:sz="4" w:space="0" w:color="FFFFFF"/>
            </w:tcBorders>
            <w:shd w:val="clear" w:color="000000" w:fill="737373"/>
            <w:vAlign w:val="center"/>
          </w:tcPr>
          <w:p w:rsidR="0006659F" w:rsidRPr="00F944E5" w:rsidRDefault="0006659F" w:rsidP="003C3A06">
            <w:pPr>
              <w:pStyle w:val="BodyText"/>
              <w:spacing w:before="120" w:after="120"/>
              <w:rPr>
                <w:color w:val="FFFFFF"/>
              </w:rPr>
            </w:pPr>
            <w:r>
              <w:rPr>
                <w:color w:val="FFFFFF"/>
              </w:rPr>
              <w:t>Practice Area: Property</w:t>
            </w:r>
          </w:p>
        </w:tc>
        <w:tc>
          <w:tcPr>
            <w:tcW w:w="1826" w:type="pct"/>
            <w:tcBorders>
              <w:bottom w:val="single" w:sz="4" w:space="0" w:color="FFFFFF"/>
            </w:tcBorders>
            <w:shd w:val="clear" w:color="000000" w:fill="737373"/>
            <w:vAlign w:val="center"/>
          </w:tcPr>
          <w:p w:rsidR="0006659F" w:rsidRPr="00F944E5" w:rsidRDefault="007564EE" w:rsidP="003C3A06">
            <w:pPr>
              <w:pStyle w:val="BodyText"/>
              <w:spacing w:before="120" w:after="120"/>
              <w:rPr>
                <w:color w:val="FFFFFF"/>
              </w:rPr>
            </w:pPr>
            <w:r>
              <w:rPr>
                <w:color w:val="FFFFFF"/>
              </w:rPr>
              <w:t>Risk Rating</w:t>
            </w:r>
          </w:p>
        </w:tc>
      </w:tr>
      <w:tr w:rsidR="0006659F" w:rsidRPr="00F944E5" w:rsidTr="003C3A06">
        <w:tc>
          <w:tcPr>
            <w:tcW w:w="3174"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single" w:sz="4" w:space="0" w:color="FFFFFF"/>
            </w:tcBorders>
            <w:shd w:val="clear" w:color="000000" w:fill="CEE8EC"/>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CEE8EC"/>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nil"/>
            </w:tcBorders>
            <w:shd w:val="clear" w:color="000000" w:fill="CEE8EC"/>
          </w:tcPr>
          <w:p w:rsidR="0006659F" w:rsidRPr="00F944E5" w:rsidRDefault="0006659F" w:rsidP="003C3A06">
            <w:pPr>
              <w:pStyle w:val="BodyText"/>
              <w:spacing w:before="120" w:after="120"/>
            </w:pPr>
          </w:p>
        </w:tc>
        <w:tc>
          <w:tcPr>
            <w:tcW w:w="1826" w:type="pct"/>
            <w:tcBorders>
              <w:top w:val="single" w:sz="4" w:space="0" w:color="FFFFFF"/>
              <w:bottom w:val="nil"/>
            </w:tcBorders>
            <w:shd w:val="clear" w:color="000000" w:fill="CEE8EC"/>
          </w:tcPr>
          <w:p w:rsidR="0006659F" w:rsidRPr="00F944E5" w:rsidRDefault="0006659F" w:rsidP="003C3A06">
            <w:pPr>
              <w:pStyle w:val="BodyText"/>
              <w:spacing w:before="120" w:after="120"/>
            </w:pPr>
          </w:p>
        </w:tc>
      </w:tr>
    </w:tbl>
    <w:p w:rsidR="0006659F" w:rsidRDefault="0006659F" w:rsidP="00973666">
      <w:pPr>
        <w:pStyle w:val="BodyText"/>
      </w:pPr>
    </w:p>
    <w:tbl>
      <w:tblPr>
        <w:tblW w:w="4947" w:type="pct"/>
        <w:tblBorders>
          <w:insideH w:val="single" w:sz="4" w:space="0" w:color="FFFFFF"/>
          <w:insideV w:val="single" w:sz="4" w:space="0" w:color="FFFFFF"/>
        </w:tblBorders>
        <w:shd w:val="clear" w:color="000000" w:fill="737373"/>
        <w:tblLook w:val="01E0" w:firstRow="1" w:lastRow="1" w:firstColumn="1" w:lastColumn="1" w:noHBand="0" w:noVBand="0"/>
      </w:tblPr>
      <w:tblGrid>
        <w:gridCol w:w="5669"/>
        <w:gridCol w:w="3262"/>
      </w:tblGrid>
      <w:tr w:rsidR="0006659F" w:rsidRPr="00F944E5" w:rsidTr="003C3A06">
        <w:trPr>
          <w:tblHeader/>
        </w:trPr>
        <w:tc>
          <w:tcPr>
            <w:tcW w:w="3174" w:type="pct"/>
            <w:tcBorders>
              <w:bottom w:val="single" w:sz="4" w:space="0" w:color="FFFFFF"/>
            </w:tcBorders>
            <w:shd w:val="clear" w:color="000000" w:fill="737373"/>
            <w:vAlign w:val="center"/>
          </w:tcPr>
          <w:p w:rsidR="0006659F" w:rsidRPr="00F944E5" w:rsidRDefault="0006659F" w:rsidP="003C3A06">
            <w:pPr>
              <w:pStyle w:val="BodyText"/>
              <w:spacing w:before="120" w:after="120"/>
              <w:rPr>
                <w:color w:val="FFFFFF"/>
              </w:rPr>
            </w:pPr>
            <w:r>
              <w:rPr>
                <w:color w:val="FFFFFF"/>
              </w:rPr>
              <w:t>Practice Area: Public</w:t>
            </w:r>
            <w:r w:rsidR="004324E9">
              <w:rPr>
                <w:color w:val="FFFFFF"/>
              </w:rPr>
              <w:t>/Administrative</w:t>
            </w:r>
          </w:p>
        </w:tc>
        <w:tc>
          <w:tcPr>
            <w:tcW w:w="1826" w:type="pct"/>
            <w:tcBorders>
              <w:bottom w:val="single" w:sz="4" w:space="0" w:color="FFFFFF"/>
            </w:tcBorders>
            <w:shd w:val="clear" w:color="000000" w:fill="737373"/>
            <w:vAlign w:val="center"/>
          </w:tcPr>
          <w:p w:rsidR="0006659F" w:rsidRPr="00F944E5" w:rsidRDefault="007564EE" w:rsidP="003C3A06">
            <w:pPr>
              <w:pStyle w:val="BodyText"/>
              <w:spacing w:before="120" w:after="120"/>
              <w:rPr>
                <w:color w:val="FFFFFF"/>
              </w:rPr>
            </w:pPr>
            <w:r>
              <w:rPr>
                <w:color w:val="FFFFFF"/>
              </w:rPr>
              <w:t>Risk Rating</w:t>
            </w:r>
          </w:p>
        </w:tc>
      </w:tr>
      <w:tr w:rsidR="0006659F" w:rsidRPr="00F944E5" w:rsidTr="003C3A06">
        <w:tc>
          <w:tcPr>
            <w:tcW w:w="3174"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single" w:sz="4" w:space="0" w:color="FFFFFF"/>
            </w:tcBorders>
            <w:shd w:val="clear" w:color="000000" w:fill="CEE8EC"/>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CEE8EC"/>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c>
          <w:tcPr>
            <w:tcW w:w="1826" w:type="pct"/>
            <w:tcBorders>
              <w:top w:val="single" w:sz="4" w:space="0" w:color="FFFFFF"/>
              <w:bottom w:val="single" w:sz="4" w:space="0" w:color="FFFFFF"/>
            </w:tcBorders>
            <w:shd w:val="clear" w:color="000000" w:fill="9DD1D9"/>
          </w:tcPr>
          <w:p w:rsidR="0006659F" w:rsidRPr="00F944E5" w:rsidRDefault="0006659F" w:rsidP="003C3A06">
            <w:pPr>
              <w:pStyle w:val="BodyText"/>
              <w:spacing w:before="120" w:after="120"/>
            </w:pPr>
          </w:p>
        </w:tc>
      </w:tr>
      <w:tr w:rsidR="0006659F" w:rsidRPr="00F944E5" w:rsidTr="003C3A06">
        <w:tc>
          <w:tcPr>
            <w:tcW w:w="3174" w:type="pct"/>
            <w:tcBorders>
              <w:top w:val="single" w:sz="4" w:space="0" w:color="FFFFFF"/>
              <w:bottom w:val="nil"/>
            </w:tcBorders>
            <w:shd w:val="clear" w:color="000000" w:fill="CEE8EC"/>
          </w:tcPr>
          <w:p w:rsidR="0006659F" w:rsidRPr="00F944E5" w:rsidRDefault="0006659F" w:rsidP="003C3A06">
            <w:pPr>
              <w:pStyle w:val="BodyText"/>
              <w:spacing w:before="120" w:after="120"/>
            </w:pPr>
          </w:p>
        </w:tc>
        <w:tc>
          <w:tcPr>
            <w:tcW w:w="1826" w:type="pct"/>
            <w:tcBorders>
              <w:top w:val="single" w:sz="4" w:space="0" w:color="FFFFFF"/>
              <w:bottom w:val="nil"/>
            </w:tcBorders>
            <w:shd w:val="clear" w:color="000000" w:fill="CEE8EC"/>
          </w:tcPr>
          <w:p w:rsidR="0006659F" w:rsidRPr="00F944E5" w:rsidRDefault="0006659F" w:rsidP="003C3A06">
            <w:pPr>
              <w:pStyle w:val="BodyText"/>
              <w:spacing w:before="120" w:after="120"/>
            </w:pPr>
          </w:p>
        </w:tc>
      </w:tr>
    </w:tbl>
    <w:p w:rsidR="0006659F" w:rsidRPr="00973666" w:rsidRDefault="0006659F" w:rsidP="00973666">
      <w:pPr>
        <w:pStyle w:val="BodyText"/>
      </w:pPr>
    </w:p>
    <w:sectPr w:rsidR="0006659F" w:rsidRPr="00973666" w:rsidSect="00BF33EA">
      <w:footerReference w:type="default" r:id="rId14"/>
      <w:footerReference w:type="first" r:id="rId15"/>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AA2" w:rsidRDefault="00BE4AA2">
      <w:r>
        <w:separator/>
      </w:r>
    </w:p>
  </w:endnote>
  <w:endnote w:type="continuationSeparator" w:id="0">
    <w:p w:rsidR="00BE4AA2" w:rsidRDefault="00BE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A06" w:rsidRDefault="003C3A06" w:rsidP="00626E03">
    <w:pPr>
      <w:pStyle w:val="zFooter"/>
      <w:tabs>
        <w:tab w:val="right" w:pos="9000"/>
      </w:tabs>
    </w:pPr>
    <w:r>
      <w:t xml:space="preserve"> </w:t>
    </w:r>
    <w:r>
      <w:tab/>
    </w:r>
    <w:r>
      <w:tab/>
    </w:r>
    <w:r>
      <w:fldChar w:fldCharType="begin"/>
    </w:r>
    <w:r>
      <w:instrText xml:space="preserve"> PAGE </w:instrText>
    </w:r>
    <w:r>
      <w:fldChar w:fldCharType="separate"/>
    </w:r>
    <w:r w:rsidR="00E50FF2">
      <w:rPr>
        <w:noProof/>
      </w:rPr>
      <w:t>13</w:t>
    </w:r>
    <w:r>
      <w:fldChar w:fldCharType="end"/>
    </w:r>
  </w:p>
  <w:p w:rsidR="003C3A06" w:rsidRPr="000658C2" w:rsidRDefault="003C3A06" w:rsidP="003169B6">
    <w:pPr>
      <w:pStyle w:val="zDMSRe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A06" w:rsidRPr="00BF33EA" w:rsidRDefault="003C3A06" w:rsidP="003D039F">
    <w:pPr>
      <w:pStyle w:val="zDMSRe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AA2" w:rsidRDefault="00BE4AA2">
      <w:r>
        <w:separator/>
      </w:r>
    </w:p>
  </w:footnote>
  <w:footnote w:type="continuationSeparator" w:id="0">
    <w:p w:rsidR="00BE4AA2" w:rsidRDefault="00BE4AA2">
      <w:r>
        <w:continuationSeparator/>
      </w:r>
    </w:p>
  </w:footnote>
  <w:footnote w:id="1">
    <w:p w:rsidR="00565E0B" w:rsidRDefault="00565E0B">
      <w:pPr>
        <w:pStyle w:val="FootnoteText"/>
      </w:pPr>
      <w:r>
        <w:rPr>
          <w:rStyle w:val="FootnoteReference"/>
        </w:rPr>
        <w:footnoteRef/>
      </w:r>
      <w:r>
        <w:t xml:space="preserve"> The MLCO does not need to be a Partner of the firm (it can be any suitable employee). </w:t>
      </w:r>
      <w:proofErr w:type="gramStart"/>
      <w:r>
        <w:t>However,  it</w:t>
      </w:r>
      <w:proofErr w:type="gramEnd"/>
      <w:r>
        <w:t xml:space="preserve"> may be desirable that the MLRO is a Senior Partner (or Senior Lawyer) given the MLRO’s primary role concerns reporting to the FIU. The MLRO will therefore need an in-depth knowledge of AML/CFT, legal professional privilege and related issues.  However, in some firms (particularly smaller firms), it may be that the MLCO and MLRO can be the same person. Such person will be responsible for administering and maintaining the AML/CFT compliance programme as well as reporting to the FIU.</w:t>
      </w:r>
    </w:p>
  </w:footnote>
  <w:footnote w:id="2">
    <w:p w:rsidR="00FC1F4B" w:rsidRDefault="00FC1F4B">
      <w:pPr>
        <w:pStyle w:val="FootnoteText"/>
      </w:pPr>
      <w:r>
        <w:rPr>
          <w:rStyle w:val="FootnoteReference"/>
        </w:rPr>
        <w:footnoteRef/>
      </w:r>
      <w:r>
        <w:t xml:space="preserve"> A politically exposed person broadly includes politicians, judges, diplomats, high ranking members of the armed forces and </w:t>
      </w:r>
      <w:proofErr w:type="gramStart"/>
      <w:r>
        <w:t>state owned</w:t>
      </w:r>
      <w:proofErr w:type="gramEnd"/>
      <w:r>
        <w:t xml:space="preserve"> enterprises and their immediate family. </w:t>
      </w:r>
    </w:p>
  </w:footnote>
  <w:footnote w:id="3">
    <w:p w:rsidR="00324AB0" w:rsidRDefault="00324AB0" w:rsidP="00324AB0">
      <w:pPr>
        <w:pStyle w:val="FootnoteText"/>
      </w:pPr>
      <w:r>
        <w:rPr>
          <w:rStyle w:val="FootnoteReference"/>
        </w:rPr>
        <w:footnoteRef/>
      </w:r>
      <w:r>
        <w:t xml:space="preserve"> December 2017 version.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CD0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36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E647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405D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C84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6D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9AA7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04F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C0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E2BB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152A6"/>
    <w:multiLevelType w:val="multilevel"/>
    <w:tmpl w:val="9E8250A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b w:val="0"/>
      </w:rPr>
    </w:lvl>
    <w:lvl w:ilvl="3">
      <w:start w:val="1"/>
      <w:numFmt w:val="lowerRoman"/>
      <w:lvlText w:val="%4"/>
      <w:lvlJc w:val="left"/>
      <w:pPr>
        <w:tabs>
          <w:tab w:val="num" w:pos="1559"/>
        </w:tabs>
        <w:ind w:left="1559" w:hanging="425"/>
      </w:pPr>
      <w:rPr>
        <w:rFonts w:hint="default"/>
      </w:rPr>
    </w:lvl>
    <w:lvl w:ilvl="4">
      <w:start w:val="1"/>
      <w:numFmt w:val="upperLetter"/>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25E44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13" w15:restartNumberingAfterBreak="0">
    <w:nsid w:val="21754CE2"/>
    <w:multiLevelType w:val="hybridMultilevel"/>
    <w:tmpl w:val="9F0E6518"/>
    <w:lvl w:ilvl="0" w:tplc="B446542C">
      <w:start w:val="1"/>
      <w:numFmt w:val="upperLetter"/>
      <w:pStyle w:val="Appendix"/>
      <w:lvlText w:val="Appendix %1"/>
      <w:lvlJc w:val="left"/>
      <w:pPr>
        <w:tabs>
          <w:tab w:val="num" w:pos="1985"/>
        </w:tabs>
        <w:ind w:left="1985" w:hanging="19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5D41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E22F8D"/>
    <w:multiLevelType w:val="multilevel"/>
    <w:tmpl w:val="DBD2AE32"/>
    <w:styleLink w:val="ADXNumericList"/>
    <w:lvl w:ilvl="0">
      <w:start w:val="1"/>
      <w:numFmt w:val="decimal"/>
      <w:pStyle w:val="Numeric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CDF7A9F"/>
    <w:multiLevelType w:val="multilevel"/>
    <w:tmpl w:val="74DA2F7A"/>
    <w:lvl w:ilvl="0">
      <w:start w:val="1"/>
      <w:numFmt w:val="decimal"/>
      <w:pStyle w:val="SOutline1"/>
      <w:lvlText w:val="%1"/>
      <w:lvlJc w:val="left"/>
      <w:pPr>
        <w:tabs>
          <w:tab w:val="num" w:pos="709"/>
        </w:tabs>
        <w:ind w:left="709" w:hanging="709"/>
      </w:pPr>
      <w:rPr>
        <w:rFonts w:hint="default"/>
      </w:rPr>
    </w:lvl>
    <w:lvl w:ilvl="1">
      <w:start w:val="1"/>
      <w:numFmt w:val="decimal"/>
      <w:pStyle w:val="SOutline2"/>
      <w:lvlText w:val="%1.%2"/>
      <w:lvlJc w:val="left"/>
      <w:pPr>
        <w:tabs>
          <w:tab w:val="num" w:pos="709"/>
        </w:tabs>
        <w:ind w:left="709" w:hanging="709"/>
      </w:pPr>
      <w:rPr>
        <w:rFonts w:hint="default"/>
      </w:rPr>
    </w:lvl>
    <w:lvl w:ilvl="2">
      <w:start w:val="1"/>
      <w:numFmt w:val="lowerLetter"/>
      <w:pStyle w:val="SOutline3"/>
      <w:lvlText w:val="%3"/>
      <w:lvlJc w:val="left"/>
      <w:pPr>
        <w:tabs>
          <w:tab w:val="num" w:pos="1134"/>
        </w:tabs>
        <w:ind w:left="1134" w:hanging="425"/>
      </w:pPr>
      <w:rPr>
        <w:rFonts w:hint="default"/>
      </w:rPr>
    </w:lvl>
    <w:lvl w:ilvl="3">
      <w:start w:val="1"/>
      <w:numFmt w:val="lowerRoman"/>
      <w:pStyle w:val="SOutline4"/>
      <w:lvlText w:val="%4"/>
      <w:lvlJc w:val="left"/>
      <w:pPr>
        <w:tabs>
          <w:tab w:val="num" w:pos="1559"/>
        </w:tabs>
        <w:ind w:left="1559" w:hanging="425"/>
      </w:pPr>
      <w:rPr>
        <w:rFonts w:hint="default"/>
      </w:rPr>
    </w:lvl>
    <w:lvl w:ilvl="4">
      <w:start w:val="1"/>
      <w:numFmt w:val="upperLetter"/>
      <w:pStyle w:val="SOutline5"/>
      <w:lvlText w:val="%5"/>
      <w:lvlJc w:val="left"/>
      <w:pPr>
        <w:tabs>
          <w:tab w:val="num" w:pos="1985"/>
        </w:tabs>
        <w:ind w:left="1985" w:hanging="426"/>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7" w15:restartNumberingAfterBreak="0">
    <w:nsid w:val="418D7262"/>
    <w:multiLevelType w:val="multilevel"/>
    <w:tmpl w:val="EF22865E"/>
    <w:styleLink w:val="ADXAlphaList"/>
    <w:lvl w:ilvl="0">
      <w:start w:val="1"/>
      <w:numFmt w:val="upperLetter"/>
      <w:pStyle w:val="Alpha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98962F6"/>
    <w:multiLevelType w:val="multilevel"/>
    <w:tmpl w:val="7DB04F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none"/>
      <w:lvlText w:val=""/>
      <w:lvlJc w:val="left"/>
      <w:pPr>
        <w:tabs>
          <w:tab w:val="num" w:pos="4253"/>
        </w:tabs>
        <w:ind w:left="4253" w:hanging="709"/>
      </w:pPr>
      <w:rPr>
        <w:rFonts w:hint="default"/>
      </w:rPr>
    </w:lvl>
    <w:lvl w:ilvl="7">
      <w:start w:val="1"/>
      <w:numFmt w:val="none"/>
      <w:lvlText w:val=""/>
      <w:lvlJc w:val="left"/>
      <w:pPr>
        <w:tabs>
          <w:tab w:val="num" w:pos="4961"/>
        </w:tabs>
        <w:ind w:left="4961" w:hanging="708"/>
      </w:pPr>
      <w:rPr>
        <w:rFonts w:hint="default"/>
      </w:rPr>
    </w:lvl>
    <w:lvl w:ilvl="8">
      <w:start w:val="1"/>
      <w:numFmt w:val="none"/>
      <w:lvlText w:val=""/>
      <w:lvlJc w:val="left"/>
      <w:pPr>
        <w:tabs>
          <w:tab w:val="num" w:pos="5670"/>
        </w:tabs>
        <w:ind w:left="5670" w:hanging="709"/>
      </w:pPr>
      <w:rPr>
        <w:rFonts w:hint="default"/>
      </w:rPr>
    </w:lvl>
  </w:abstractNum>
  <w:abstractNum w:abstractNumId="19" w15:restartNumberingAfterBreak="0">
    <w:nsid w:val="49993F26"/>
    <w:multiLevelType w:val="hybridMultilevel"/>
    <w:tmpl w:val="62688BA6"/>
    <w:lvl w:ilvl="0" w:tplc="A9DABC96">
      <w:start w:val="1"/>
      <w:numFmt w:val="decimal"/>
      <w:pStyle w:val="Schedule"/>
      <w:lvlText w:val="Schedule %1"/>
      <w:lvlJc w:val="left"/>
      <w:pPr>
        <w:tabs>
          <w:tab w:val="num" w:pos="567"/>
        </w:tabs>
        <w:ind w:left="1985" w:hanging="19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1D678B"/>
    <w:multiLevelType w:val="multilevel"/>
    <w:tmpl w:val="BAAE30E2"/>
    <w:lvl w:ilvl="0">
      <w:start w:val="1"/>
      <w:numFmt w:val="decimal"/>
      <w:pStyle w:val="Outline1"/>
      <w:lvlText w:val="%1"/>
      <w:lvlJc w:val="left"/>
      <w:pPr>
        <w:tabs>
          <w:tab w:val="num" w:pos="709"/>
        </w:tabs>
        <w:ind w:left="709" w:hanging="709"/>
      </w:pPr>
      <w:rPr>
        <w:rFonts w:hint="default"/>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76E5CC1"/>
    <w:multiLevelType w:val="multilevel"/>
    <w:tmpl w:val="407EA9C0"/>
    <w:styleLink w:val="ADXBulletList"/>
    <w:lvl w:ilvl="0">
      <w:start w:val="1"/>
      <w:numFmt w:val="bullet"/>
      <w:lvlText w:val=""/>
      <w:lvlJc w:val="left"/>
      <w:pPr>
        <w:tabs>
          <w:tab w:val="num" w:pos="709"/>
        </w:tabs>
        <w:ind w:left="709" w:hanging="709"/>
      </w:pPr>
      <w:rPr>
        <w:rFonts w:ascii="Symbol" w:hAnsi="Symbol"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5D9D2AF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12A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DC37B1"/>
    <w:multiLevelType w:val="multilevel"/>
    <w:tmpl w:val="D25CA6B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rPr>
    </w:lvl>
    <w:lvl w:ilvl="3">
      <w:start w:val="1"/>
      <w:numFmt w:val="lowerRoman"/>
      <w:lvlText w:val="%4"/>
      <w:lvlJc w:val="left"/>
      <w:pPr>
        <w:tabs>
          <w:tab w:val="num" w:pos="1559"/>
        </w:tabs>
        <w:ind w:left="1559" w:hanging="425"/>
      </w:pPr>
      <w:rPr>
        <w:rFonts w:hint="default"/>
      </w:rPr>
    </w:lvl>
    <w:lvl w:ilvl="4">
      <w:start w:val="1"/>
      <w:numFmt w:val="upperLetter"/>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4"/>
  </w:num>
  <w:num w:numId="14">
    <w:abstractNumId w:val="11"/>
  </w:num>
  <w:num w:numId="15">
    <w:abstractNumId w:val="23"/>
  </w:num>
  <w:num w:numId="16">
    <w:abstractNumId w:val="22"/>
  </w:num>
  <w:num w:numId="17">
    <w:abstractNumId w:val="17"/>
  </w:num>
  <w:num w:numId="18">
    <w:abstractNumId w:val="21"/>
  </w:num>
  <w:num w:numId="19">
    <w:abstractNumId w:val="15"/>
  </w:num>
  <w:num w:numId="20">
    <w:abstractNumId w:val="13"/>
  </w:num>
  <w:num w:numId="21">
    <w:abstractNumId w:val="16"/>
  </w:num>
  <w:num w:numId="22">
    <w:abstractNumId w:val="16"/>
  </w:num>
  <w:num w:numId="23">
    <w:abstractNumId w:val="16"/>
  </w:num>
  <w:num w:numId="24">
    <w:abstractNumId w:val="16"/>
  </w:num>
  <w:num w:numId="25">
    <w:abstractNumId w:val="16"/>
  </w:num>
  <w:num w:numId="26">
    <w:abstractNumId w:val="19"/>
  </w:num>
  <w:num w:numId="27">
    <w:abstractNumId w:val="14"/>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41"/>
    <w:rsid w:val="00010389"/>
    <w:rsid w:val="00016ACA"/>
    <w:rsid w:val="000327B2"/>
    <w:rsid w:val="00033B98"/>
    <w:rsid w:val="00056741"/>
    <w:rsid w:val="000658C2"/>
    <w:rsid w:val="0006659F"/>
    <w:rsid w:val="00082784"/>
    <w:rsid w:val="00097AE6"/>
    <w:rsid w:val="000C26BC"/>
    <w:rsid w:val="000D5FBF"/>
    <w:rsid w:val="000D7038"/>
    <w:rsid w:val="000D7C49"/>
    <w:rsid w:val="000F21E0"/>
    <w:rsid w:val="000F7ED8"/>
    <w:rsid w:val="00146DF7"/>
    <w:rsid w:val="00153514"/>
    <w:rsid w:val="00154F91"/>
    <w:rsid w:val="00184B91"/>
    <w:rsid w:val="0019225A"/>
    <w:rsid w:val="001C685C"/>
    <w:rsid w:val="001D777C"/>
    <w:rsid w:val="002350DE"/>
    <w:rsid w:val="00272B4D"/>
    <w:rsid w:val="00277171"/>
    <w:rsid w:val="0027761F"/>
    <w:rsid w:val="002A5236"/>
    <w:rsid w:val="002A79FA"/>
    <w:rsid w:val="002B17E9"/>
    <w:rsid w:val="002D3BC4"/>
    <w:rsid w:val="002F4C32"/>
    <w:rsid w:val="003005B8"/>
    <w:rsid w:val="00304471"/>
    <w:rsid w:val="0031512B"/>
    <w:rsid w:val="00316649"/>
    <w:rsid w:val="003169B6"/>
    <w:rsid w:val="00320AD5"/>
    <w:rsid w:val="00324AB0"/>
    <w:rsid w:val="00331533"/>
    <w:rsid w:val="00332654"/>
    <w:rsid w:val="003753CD"/>
    <w:rsid w:val="00390775"/>
    <w:rsid w:val="003C3A06"/>
    <w:rsid w:val="003D039F"/>
    <w:rsid w:val="003E1B01"/>
    <w:rsid w:val="003F6BAA"/>
    <w:rsid w:val="00416C6F"/>
    <w:rsid w:val="004314B8"/>
    <w:rsid w:val="004324E9"/>
    <w:rsid w:val="004332D4"/>
    <w:rsid w:val="0043680B"/>
    <w:rsid w:val="004452C8"/>
    <w:rsid w:val="004653E7"/>
    <w:rsid w:val="00481140"/>
    <w:rsid w:val="00493A1B"/>
    <w:rsid w:val="004C375D"/>
    <w:rsid w:val="004C6265"/>
    <w:rsid w:val="00503FF9"/>
    <w:rsid w:val="00523B42"/>
    <w:rsid w:val="00565E0B"/>
    <w:rsid w:val="00585BFE"/>
    <w:rsid w:val="00590E7E"/>
    <w:rsid w:val="005A3AE2"/>
    <w:rsid w:val="005B097B"/>
    <w:rsid w:val="005B34A9"/>
    <w:rsid w:val="005D1972"/>
    <w:rsid w:val="00626E03"/>
    <w:rsid w:val="006452FB"/>
    <w:rsid w:val="006531BE"/>
    <w:rsid w:val="00656342"/>
    <w:rsid w:val="00667C82"/>
    <w:rsid w:val="00675B55"/>
    <w:rsid w:val="00695401"/>
    <w:rsid w:val="007017E0"/>
    <w:rsid w:val="00702705"/>
    <w:rsid w:val="00704F21"/>
    <w:rsid w:val="00735621"/>
    <w:rsid w:val="007465D7"/>
    <w:rsid w:val="00747332"/>
    <w:rsid w:val="007564EE"/>
    <w:rsid w:val="00777560"/>
    <w:rsid w:val="00781039"/>
    <w:rsid w:val="007872F0"/>
    <w:rsid w:val="007961B5"/>
    <w:rsid w:val="007A00DD"/>
    <w:rsid w:val="007E07D1"/>
    <w:rsid w:val="007E7D47"/>
    <w:rsid w:val="007F730E"/>
    <w:rsid w:val="00810EEE"/>
    <w:rsid w:val="008224DC"/>
    <w:rsid w:val="00852371"/>
    <w:rsid w:val="0087155D"/>
    <w:rsid w:val="00874D9C"/>
    <w:rsid w:val="00887712"/>
    <w:rsid w:val="00896825"/>
    <w:rsid w:val="008C7E3B"/>
    <w:rsid w:val="008D59B3"/>
    <w:rsid w:val="009107CA"/>
    <w:rsid w:val="009116D9"/>
    <w:rsid w:val="00914F64"/>
    <w:rsid w:val="009236C9"/>
    <w:rsid w:val="00926329"/>
    <w:rsid w:val="00927C8A"/>
    <w:rsid w:val="0095098D"/>
    <w:rsid w:val="00960126"/>
    <w:rsid w:val="00973666"/>
    <w:rsid w:val="009A38A5"/>
    <w:rsid w:val="009C0610"/>
    <w:rsid w:val="009D4B5B"/>
    <w:rsid w:val="00A04E50"/>
    <w:rsid w:val="00A06C49"/>
    <w:rsid w:val="00A3175B"/>
    <w:rsid w:val="00A51C81"/>
    <w:rsid w:val="00A60E1A"/>
    <w:rsid w:val="00A74202"/>
    <w:rsid w:val="00A80753"/>
    <w:rsid w:val="00A95B03"/>
    <w:rsid w:val="00AA6825"/>
    <w:rsid w:val="00AB1490"/>
    <w:rsid w:val="00AC1BCC"/>
    <w:rsid w:val="00B068F1"/>
    <w:rsid w:val="00B103AB"/>
    <w:rsid w:val="00B16211"/>
    <w:rsid w:val="00BA5E31"/>
    <w:rsid w:val="00BE4AA2"/>
    <w:rsid w:val="00BF0823"/>
    <w:rsid w:val="00BF1F7B"/>
    <w:rsid w:val="00BF2541"/>
    <w:rsid w:val="00BF33EA"/>
    <w:rsid w:val="00C06806"/>
    <w:rsid w:val="00C07274"/>
    <w:rsid w:val="00C4514C"/>
    <w:rsid w:val="00C457EE"/>
    <w:rsid w:val="00C513AB"/>
    <w:rsid w:val="00CA46CF"/>
    <w:rsid w:val="00CA714B"/>
    <w:rsid w:val="00CC7B0C"/>
    <w:rsid w:val="00CD3DAF"/>
    <w:rsid w:val="00CD6C13"/>
    <w:rsid w:val="00CE7046"/>
    <w:rsid w:val="00CF0C33"/>
    <w:rsid w:val="00D318AF"/>
    <w:rsid w:val="00D44A3C"/>
    <w:rsid w:val="00D60210"/>
    <w:rsid w:val="00D85A8A"/>
    <w:rsid w:val="00D878A7"/>
    <w:rsid w:val="00DB5323"/>
    <w:rsid w:val="00DC73BB"/>
    <w:rsid w:val="00DD40B7"/>
    <w:rsid w:val="00DF27AE"/>
    <w:rsid w:val="00E342DC"/>
    <w:rsid w:val="00E50FF2"/>
    <w:rsid w:val="00E56A7F"/>
    <w:rsid w:val="00EA02F0"/>
    <w:rsid w:val="00F318EA"/>
    <w:rsid w:val="00F4790A"/>
    <w:rsid w:val="00F551BE"/>
    <w:rsid w:val="00F65950"/>
    <w:rsid w:val="00F838E2"/>
    <w:rsid w:val="00F953AC"/>
    <w:rsid w:val="00F962F5"/>
    <w:rsid w:val="00FC1F4B"/>
    <w:rsid w:val="00FC2A4C"/>
    <w:rsid w:val="00FD0F6C"/>
    <w:rsid w:val="00FD5E0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10D49"/>
  <w15:docId w15:val="{8889B530-8B35-4453-B31E-81520280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6"/>
    <w:qFormat/>
    <w:rsid w:val="00A06C49"/>
    <w:rPr>
      <w:rFonts w:ascii="Arial" w:hAnsi="Arial"/>
      <w:lang w:eastAsia="en-US"/>
    </w:rPr>
  </w:style>
  <w:style w:type="paragraph" w:styleId="Heading1">
    <w:name w:val="heading 1"/>
    <w:basedOn w:val="BodyText"/>
    <w:next w:val="BodyText"/>
    <w:qFormat/>
    <w:rsid w:val="00503FF9"/>
    <w:pPr>
      <w:keepNext/>
      <w:spacing w:before="300"/>
      <w:outlineLvl w:val="0"/>
    </w:pPr>
    <w:rPr>
      <w:rFonts w:cs="Arial"/>
      <w:b/>
      <w:bCs/>
      <w:kern w:val="32"/>
      <w:sz w:val="24"/>
      <w:szCs w:val="24"/>
    </w:rPr>
  </w:style>
  <w:style w:type="paragraph" w:styleId="Heading2">
    <w:name w:val="heading 2"/>
    <w:basedOn w:val="BodyText"/>
    <w:next w:val="BodyText"/>
    <w:qFormat/>
    <w:rsid w:val="004C6265"/>
    <w:pPr>
      <w:keepNext/>
      <w:spacing w:before="300"/>
      <w:outlineLvl w:val="1"/>
    </w:pPr>
    <w:rPr>
      <w:b/>
      <w:bCs/>
      <w:iCs/>
      <w:szCs w:val="28"/>
    </w:rPr>
  </w:style>
  <w:style w:type="paragraph" w:styleId="Heading3">
    <w:name w:val="heading 3"/>
    <w:basedOn w:val="BodyText"/>
    <w:next w:val="BodyText"/>
    <w:semiHidden/>
    <w:rsid w:val="00C4514C"/>
    <w:pPr>
      <w:outlineLvl w:val="2"/>
    </w:pPr>
    <w:rPr>
      <w:bCs/>
      <w:szCs w:val="26"/>
    </w:rPr>
  </w:style>
  <w:style w:type="paragraph" w:styleId="Heading4">
    <w:name w:val="heading 4"/>
    <w:basedOn w:val="BodyText"/>
    <w:next w:val="BodyText"/>
    <w:semiHidden/>
    <w:rsid w:val="00C4514C"/>
    <w:pPr>
      <w:outlineLvl w:val="3"/>
    </w:pPr>
    <w:rPr>
      <w:bCs/>
    </w:rPr>
  </w:style>
  <w:style w:type="paragraph" w:styleId="Heading5">
    <w:name w:val="heading 5"/>
    <w:basedOn w:val="BodyText"/>
    <w:next w:val="BodyText"/>
    <w:semiHidden/>
    <w:rsid w:val="00C4514C"/>
    <w:pPr>
      <w:outlineLvl w:val="4"/>
    </w:pPr>
    <w:rPr>
      <w:bCs/>
      <w:iCs/>
    </w:rPr>
  </w:style>
  <w:style w:type="paragraph" w:styleId="Heading6">
    <w:name w:val="heading 6"/>
    <w:basedOn w:val="BodyText"/>
    <w:next w:val="BodyText"/>
    <w:semiHidden/>
    <w:rsid w:val="00C4514C"/>
    <w:pPr>
      <w:outlineLvl w:val="5"/>
    </w:pPr>
    <w:rPr>
      <w:bCs/>
      <w:szCs w:val="22"/>
    </w:rPr>
  </w:style>
  <w:style w:type="paragraph" w:styleId="Heading7">
    <w:name w:val="heading 7"/>
    <w:basedOn w:val="BodyText"/>
    <w:next w:val="BodyText"/>
    <w:semiHidden/>
    <w:rsid w:val="00C4514C"/>
    <w:pPr>
      <w:outlineLvl w:val="6"/>
    </w:pPr>
    <w:rPr>
      <w:szCs w:val="24"/>
    </w:rPr>
  </w:style>
  <w:style w:type="paragraph" w:styleId="Heading8">
    <w:name w:val="heading 8"/>
    <w:basedOn w:val="BodyText"/>
    <w:next w:val="BodyText"/>
    <w:semiHidden/>
    <w:rsid w:val="00C4514C"/>
    <w:pPr>
      <w:outlineLvl w:val="7"/>
    </w:pPr>
    <w:rPr>
      <w:iCs/>
      <w:szCs w:val="24"/>
    </w:rPr>
  </w:style>
  <w:style w:type="paragraph" w:styleId="Heading9">
    <w:name w:val="heading 9"/>
    <w:basedOn w:val="BodyText"/>
    <w:semiHidden/>
    <w:rsid w:val="00C4514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BodyText"/>
    <w:next w:val="Outline2"/>
    <w:uiPriority w:val="2"/>
    <w:qFormat/>
    <w:rsid w:val="000D5FBF"/>
    <w:pPr>
      <w:keepNext/>
      <w:numPr>
        <w:numId w:val="28"/>
      </w:numPr>
      <w:tabs>
        <w:tab w:val="clear" w:pos="709"/>
      </w:tabs>
      <w:spacing w:before="300"/>
      <w:outlineLvl w:val="0"/>
    </w:pPr>
    <w:rPr>
      <w:b/>
      <w:sz w:val="24"/>
    </w:rPr>
  </w:style>
  <w:style w:type="paragraph" w:styleId="BodyText">
    <w:name w:val="Body Text"/>
    <w:basedOn w:val="Normal"/>
    <w:link w:val="BodyTextChar"/>
    <w:qFormat/>
    <w:rsid w:val="00F4790A"/>
    <w:pPr>
      <w:spacing w:after="180" w:line="280" w:lineRule="atLeast"/>
    </w:pPr>
  </w:style>
  <w:style w:type="paragraph" w:customStyle="1" w:styleId="Outline2">
    <w:name w:val="Outline 2"/>
    <w:basedOn w:val="BodyText"/>
    <w:uiPriority w:val="2"/>
    <w:qFormat/>
    <w:rsid w:val="008C7E3B"/>
    <w:pPr>
      <w:numPr>
        <w:ilvl w:val="1"/>
        <w:numId w:val="28"/>
      </w:numPr>
    </w:pPr>
  </w:style>
  <w:style w:type="paragraph" w:customStyle="1" w:styleId="Outline3">
    <w:name w:val="Outline 3"/>
    <w:basedOn w:val="BodyText"/>
    <w:uiPriority w:val="2"/>
    <w:qFormat/>
    <w:rsid w:val="008C7E3B"/>
    <w:pPr>
      <w:numPr>
        <w:ilvl w:val="2"/>
        <w:numId w:val="28"/>
      </w:numPr>
    </w:pPr>
  </w:style>
  <w:style w:type="paragraph" w:customStyle="1" w:styleId="Outline4">
    <w:name w:val="Outline 4"/>
    <w:basedOn w:val="BodyText"/>
    <w:uiPriority w:val="2"/>
    <w:qFormat/>
    <w:rsid w:val="008C7E3B"/>
    <w:pPr>
      <w:numPr>
        <w:ilvl w:val="3"/>
        <w:numId w:val="28"/>
      </w:numPr>
    </w:pPr>
  </w:style>
  <w:style w:type="paragraph" w:customStyle="1" w:styleId="Outline5">
    <w:name w:val="Outline 5"/>
    <w:basedOn w:val="BodyText"/>
    <w:uiPriority w:val="2"/>
    <w:qFormat/>
    <w:rsid w:val="008C7E3B"/>
    <w:pPr>
      <w:numPr>
        <w:ilvl w:val="4"/>
        <w:numId w:val="28"/>
      </w:numPr>
    </w:pPr>
  </w:style>
  <w:style w:type="paragraph" w:customStyle="1" w:styleId="Quotation">
    <w:name w:val="Quotation"/>
    <w:basedOn w:val="BodyText"/>
    <w:semiHidden/>
    <w:rsid w:val="004C6265"/>
    <w:pPr>
      <w:ind w:left="851" w:right="851"/>
    </w:pPr>
    <w:rPr>
      <w:sz w:val="18"/>
      <w:szCs w:val="19"/>
      <w:lang w:eastAsia="en-GB"/>
    </w:rPr>
  </w:style>
  <w:style w:type="paragraph" w:customStyle="1" w:styleId="Alphalist">
    <w:name w:val="Alpha list"/>
    <w:basedOn w:val="BodyText"/>
    <w:uiPriority w:val="9"/>
    <w:qFormat/>
    <w:rsid w:val="00777560"/>
    <w:pPr>
      <w:numPr>
        <w:numId w:val="17"/>
      </w:numPr>
    </w:pPr>
  </w:style>
  <w:style w:type="paragraph" w:styleId="BodyTextIndent">
    <w:name w:val="Body Text Indent"/>
    <w:basedOn w:val="BodyText"/>
    <w:link w:val="BodyTextIndentChar"/>
    <w:uiPriority w:val="6"/>
    <w:qFormat/>
    <w:rsid w:val="00F4790A"/>
    <w:pPr>
      <w:ind w:left="709"/>
    </w:pPr>
  </w:style>
  <w:style w:type="paragraph" w:customStyle="1" w:styleId="Bullet">
    <w:name w:val="Bullet"/>
    <w:basedOn w:val="BodyText"/>
    <w:uiPriority w:val="7"/>
    <w:qFormat/>
    <w:rsid w:val="00F4790A"/>
    <w:pPr>
      <w:numPr>
        <w:numId w:val="12"/>
      </w:numPr>
    </w:pPr>
    <w:rPr>
      <w:lang w:eastAsia="en-GB"/>
    </w:rPr>
  </w:style>
  <w:style w:type="paragraph" w:customStyle="1" w:styleId="Numericlist">
    <w:name w:val="Numeric list"/>
    <w:basedOn w:val="BodyText"/>
    <w:uiPriority w:val="10"/>
    <w:qFormat/>
    <w:rsid w:val="000D7038"/>
    <w:pPr>
      <w:numPr>
        <w:numId w:val="19"/>
      </w:numPr>
    </w:pPr>
  </w:style>
  <w:style w:type="paragraph" w:customStyle="1" w:styleId="zFooterEvenLandscape">
    <w:name w:val="z_Footer Even Landscape"/>
    <w:basedOn w:val="Normal"/>
    <w:semiHidden/>
    <w:rsid w:val="00C4514C"/>
    <w:pPr>
      <w:tabs>
        <w:tab w:val="right" w:pos="13960"/>
      </w:tabs>
      <w:spacing w:after="40"/>
    </w:pPr>
    <w:rPr>
      <w:color w:val="868689"/>
      <w:sz w:val="16"/>
    </w:rPr>
  </w:style>
  <w:style w:type="paragraph" w:customStyle="1" w:styleId="zFooterEvenPortrait">
    <w:name w:val="z_Footer Even Portrait"/>
    <w:basedOn w:val="Normal"/>
    <w:semiHidden/>
    <w:rsid w:val="00C4514C"/>
    <w:pPr>
      <w:tabs>
        <w:tab w:val="left" w:pos="1559"/>
        <w:tab w:val="center" w:pos="4536"/>
        <w:tab w:val="right" w:pos="9072"/>
      </w:tabs>
      <w:spacing w:after="40"/>
    </w:pPr>
    <w:rPr>
      <w:color w:val="868689"/>
      <w:sz w:val="16"/>
    </w:rPr>
  </w:style>
  <w:style w:type="paragraph" w:customStyle="1" w:styleId="zFooterFirstPage">
    <w:name w:val="z_Footer First Page"/>
    <w:basedOn w:val="Footer"/>
    <w:semiHidden/>
    <w:rsid w:val="00C4514C"/>
    <w:pPr>
      <w:tabs>
        <w:tab w:val="left" w:pos="1559"/>
      </w:tabs>
      <w:spacing w:after="40"/>
    </w:pPr>
    <w:rPr>
      <w:sz w:val="16"/>
    </w:rPr>
  </w:style>
  <w:style w:type="paragraph" w:customStyle="1" w:styleId="zFooterFirstPagecaps">
    <w:name w:val="z_Footer First Page caps"/>
    <w:basedOn w:val="zFooterFirstPage"/>
    <w:semiHidden/>
    <w:rsid w:val="00C4514C"/>
    <w:rPr>
      <w:rFonts w:ascii="Arial Bold" w:hAnsi="Arial Bold"/>
      <w:b/>
      <w:caps/>
      <w:color w:val="868689"/>
      <w:sz w:val="18"/>
    </w:rPr>
  </w:style>
  <w:style w:type="paragraph" w:customStyle="1" w:styleId="zFooterOddLandscape">
    <w:name w:val="z_Footer Odd Landscape"/>
    <w:basedOn w:val="Normal"/>
    <w:semiHidden/>
    <w:rsid w:val="00C4514C"/>
    <w:pPr>
      <w:tabs>
        <w:tab w:val="right" w:pos="13960"/>
      </w:tabs>
      <w:spacing w:after="40"/>
    </w:pPr>
    <w:rPr>
      <w:color w:val="868689"/>
      <w:sz w:val="16"/>
    </w:rPr>
  </w:style>
  <w:style w:type="paragraph" w:customStyle="1" w:styleId="zFooterOddPortrait">
    <w:name w:val="z_Footer Odd Portrait"/>
    <w:basedOn w:val="zFooterFirstPage"/>
    <w:semiHidden/>
    <w:rsid w:val="00C4514C"/>
    <w:rPr>
      <w:color w:val="868689"/>
    </w:rPr>
  </w:style>
  <w:style w:type="paragraph" w:customStyle="1" w:styleId="zspacer">
    <w:name w:val="z_spacer"/>
    <w:basedOn w:val="Normal"/>
    <w:semiHidden/>
    <w:rsid w:val="00C4514C"/>
    <w:pPr>
      <w:spacing w:after="1843"/>
    </w:pPr>
  </w:style>
  <w:style w:type="paragraph" w:styleId="Closing">
    <w:name w:val="Closing"/>
    <w:basedOn w:val="Normal"/>
    <w:semiHidden/>
    <w:rsid w:val="00F4790A"/>
    <w:pPr>
      <w:ind w:left="4252"/>
    </w:pPr>
  </w:style>
  <w:style w:type="paragraph" w:styleId="Date">
    <w:name w:val="Date"/>
    <w:basedOn w:val="Normal"/>
    <w:next w:val="Normal"/>
    <w:semiHidden/>
    <w:rsid w:val="00F4790A"/>
  </w:style>
  <w:style w:type="paragraph" w:styleId="E-mailSignature">
    <w:name w:val="E-mail Signature"/>
    <w:basedOn w:val="Normal"/>
    <w:semiHidden/>
    <w:rsid w:val="00F4790A"/>
  </w:style>
  <w:style w:type="paragraph" w:styleId="EnvelopeAddress">
    <w:name w:val="envelope address"/>
    <w:basedOn w:val="Normal"/>
    <w:semiHidden/>
    <w:rsid w:val="00F479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4790A"/>
    <w:rPr>
      <w:rFonts w:cs="Arial"/>
    </w:rPr>
  </w:style>
  <w:style w:type="character" w:styleId="FollowedHyperlink">
    <w:name w:val="FollowedHyperlink"/>
    <w:basedOn w:val="DefaultParagraphFont"/>
    <w:semiHidden/>
    <w:rsid w:val="00F4790A"/>
    <w:rPr>
      <w:color w:val="800080"/>
      <w:u w:val="single"/>
    </w:rPr>
  </w:style>
  <w:style w:type="paragraph" w:styleId="Footer">
    <w:name w:val="footer"/>
    <w:basedOn w:val="Normal"/>
    <w:semiHidden/>
    <w:rsid w:val="00CC7B0C"/>
    <w:pPr>
      <w:tabs>
        <w:tab w:val="center" w:pos="4536"/>
        <w:tab w:val="right" w:pos="9072"/>
      </w:tabs>
    </w:pPr>
  </w:style>
  <w:style w:type="paragraph" w:styleId="Header">
    <w:name w:val="header"/>
    <w:basedOn w:val="Normal"/>
    <w:semiHidden/>
    <w:rsid w:val="00F4790A"/>
    <w:pPr>
      <w:tabs>
        <w:tab w:val="center" w:pos="4320"/>
        <w:tab w:val="right" w:pos="8640"/>
      </w:tabs>
    </w:pPr>
  </w:style>
  <w:style w:type="character" w:styleId="HTMLAcronym">
    <w:name w:val="HTML Acronym"/>
    <w:basedOn w:val="DefaultParagraphFont"/>
    <w:semiHidden/>
    <w:rsid w:val="00F4790A"/>
  </w:style>
  <w:style w:type="paragraph" w:styleId="HTMLAddress">
    <w:name w:val="HTML Address"/>
    <w:basedOn w:val="Normal"/>
    <w:semiHidden/>
    <w:rsid w:val="00F4790A"/>
    <w:rPr>
      <w:i/>
      <w:iCs/>
    </w:rPr>
  </w:style>
  <w:style w:type="character" w:styleId="HTMLCite">
    <w:name w:val="HTML Cite"/>
    <w:basedOn w:val="DefaultParagraphFont"/>
    <w:semiHidden/>
    <w:rsid w:val="00F4790A"/>
    <w:rPr>
      <w:i/>
      <w:iCs/>
    </w:rPr>
  </w:style>
  <w:style w:type="character" w:styleId="HTMLCode">
    <w:name w:val="HTML Code"/>
    <w:basedOn w:val="DefaultParagraphFont"/>
    <w:semiHidden/>
    <w:rsid w:val="00F4790A"/>
    <w:rPr>
      <w:rFonts w:ascii="Courier New" w:hAnsi="Courier New" w:cs="Courier New"/>
      <w:sz w:val="20"/>
      <w:szCs w:val="20"/>
    </w:rPr>
  </w:style>
  <w:style w:type="character" w:styleId="HTMLDefinition">
    <w:name w:val="HTML Definition"/>
    <w:basedOn w:val="DefaultParagraphFont"/>
    <w:semiHidden/>
    <w:rsid w:val="00F4790A"/>
    <w:rPr>
      <w:i/>
      <w:iCs/>
    </w:rPr>
  </w:style>
  <w:style w:type="character" w:styleId="HTMLKeyboard">
    <w:name w:val="HTML Keyboard"/>
    <w:basedOn w:val="DefaultParagraphFont"/>
    <w:semiHidden/>
    <w:rsid w:val="00F4790A"/>
    <w:rPr>
      <w:rFonts w:ascii="Courier New" w:hAnsi="Courier New" w:cs="Courier New"/>
      <w:sz w:val="20"/>
      <w:szCs w:val="20"/>
    </w:rPr>
  </w:style>
  <w:style w:type="paragraph" w:styleId="HTMLPreformatted">
    <w:name w:val="HTML Preformatted"/>
    <w:basedOn w:val="Normal"/>
    <w:semiHidden/>
    <w:rsid w:val="00F4790A"/>
    <w:rPr>
      <w:rFonts w:ascii="Courier New" w:hAnsi="Courier New" w:cs="Courier New"/>
    </w:rPr>
  </w:style>
  <w:style w:type="character" w:styleId="HTMLSample">
    <w:name w:val="HTML Sample"/>
    <w:basedOn w:val="DefaultParagraphFont"/>
    <w:semiHidden/>
    <w:rsid w:val="00F4790A"/>
    <w:rPr>
      <w:rFonts w:ascii="Courier New" w:hAnsi="Courier New" w:cs="Courier New"/>
    </w:rPr>
  </w:style>
  <w:style w:type="character" w:styleId="HTMLTypewriter">
    <w:name w:val="HTML Typewriter"/>
    <w:basedOn w:val="DefaultParagraphFont"/>
    <w:semiHidden/>
    <w:rsid w:val="00F4790A"/>
    <w:rPr>
      <w:rFonts w:ascii="Courier New" w:hAnsi="Courier New" w:cs="Courier New"/>
      <w:sz w:val="20"/>
      <w:szCs w:val="20"/>
    </w:rPr>
  </w:style>
  <w:style w:type="character" w:styleId="HTMLVariable">
    <w:name w:val="HTML Variable"/>
    <w:basedOn w:val="DefaultParagraphFont"/>
    <w:semiHidden/>
    <w:rsid w:val="00F4790A"/>
    <w:rPr>
      <w:i/>
      <w:iCs/>
    </w:rPr>
  </w:style>
  <w:style w:type="character" w:styleId="Hyperlink">
    <w:name w:val="Hyperlink"/>
    <w:basedOn w:val="DefaultParagraphFont"/>
    <w:semiHidden/>
    <w:rsid w:val="00F4790A"/>
    <w:rPr>
      <w:color w:val="0000FF"/>
      <w:u w:val="single"/>
    </w:rPr>
  </w:style>
  <w:style w:type="character" w:styleId="LineNumber">
    <w:name w:val="line number"/>
    <w:basedOn w:val="DefaultParagraphFont"/>
    <w:semiHidden/>
    <w:rsid w:val="00F4790A"/>
  </w:style>
  <w:style w:type="paragraph" w:styleId="List">
    <w:name w:val="List"/>
    <w:basedOn w:val="Normal"/>
    <w:semiHidden/>
    <w:rsid w:val="00F4790A"/>
    <w:pPr>
      <w:ind w:left="283" w:hanging="283"/>
    </w:pPr>
  </w:style>
  <w:style w:type="paragraph" w:styleId="List2">
    <w:name w:val="List 2"/>
    <w:basedOn w:val="Normal"/>
    <w:semiHidden/>
    <w:rsid w:val="00F4790A"/>
    <w:pPr>
      <w:ind w:left="566" w:hanging="283"/>
    </w:pPr>
  </w:style>
  <w:style w:type="paragraph" w:styleId="List3">
    <w:name w:val="List 3"/>
    <w:basedOn w:val="Normal"/>
    <w:semiHidden/>
    <w:rsid w:val="00F4790A"/>
    <w:pPr>
      <w:ind w:left="849" w:hanging="283"/>
    </w:pPr>
  </w:style>
  <w:style w:type="paragraph" w:styleId="List4">
    <w:name w:val="List 4"/>
    <w:basedOn w:val="Normal"/>
    <w:semiHidden/>
    <w:rsid w:val="00F4790A"/>
    <w:pPr>
      <w:ind w:left="1132" w:hanging="283"/>
    </w:pPr>
  </w:style>
  <w:style w:type="paragraph" w:styleId="List5">
    <w:name w:val="List 5"/>
    <w:basedOn w:val="Normal"/>
    <w:semiHidden/>
    <w:rsid w:val="00F4790A"/>
    <w:pPr>
      <w:ind w:left="1415" w:hanging="283"/>
    </w:pPr>
  </w:style>
  <w:style w:type="paragraph" w:styleId="ListBullet">
    <w:name w:val="List Bullet"/>
    <w:basedOn w:val="Normal"/>
    <w:semiHidden/>
    <w:rsid w:val="00F4790A"/>
    <w:pPr>
      <w:numPr>
        <w:numId w:val="2"/>
      </w:numPr>
    </w:pPr>
  </w:style>
  <w:style w:type="paragraph" w:styleId="ListBullet2">
    <w:name w:val="List Bullet 2"/>
    <w:basedOn w:val="Normal"/>
    <w:semiHidden/>
    <w:rsid w:val="00F4790A"/>
    <w:pPr>
      <w:numPr>
        <w:numId w:val="3"/>
      </w:numPr>
    </w:pPr>
  </w:style>
  <w:style w:type="paragraph" w:styleId="ListBullet3">
    <w:name w:val="List Bullet 3"/>
    <w:basedOn w:val="Normal"/>
    <w:semiHidden/>
    <w:rsid w:val="00F4790A"/>
    <w:pPr>
      <w:numPr>
        <w:numId w:val="4"/>
      </w:numPr>
    </w:pPr>
  </w:style>
  <w:style w:type="paragraph" w:styleId="ListBullet4">
    <w:name w:val="List Bullet 4"/>
    <w:basedOn w:val="Normal"/>
    <w:semiHidden/>
    <w:rsid w:val="00F4790A"/>
    <w:pPr>
      <w:numPr>
        <w:numId w:val="5"/>
      </w:numPr>
    </w:pPr>
  </w:style>
  <w:style w:type="paragraph" w:styleId="ListBullet5">
    <w:name w:val="List Bullet 5"/>
    <w:basedOn w:val="Normal"/>
    <w:semiHidden/>
    <w:rsid w:val="00F4790A"/>
    <w:pPr>
      <w:numPr>
        <w:numId w:val="6"/>
      </w:numPr>
    </w:pPr>
  </w:style>
  <w:style w:type="paragraph" w:styleId="ListContinue">
    <w:name w:val="List Continue"/>
    <w:basedOn w:val="Normal"/>
    <w:semiHidden/>
    <w:rsid w:val="00F4790A"/>
    <w:pPr>
      <w:spacing w:after="120"/>
      <w:ind w:left="283"/>
    </w:pPr>
  </w:style>
  <w:style w:type="paragraph" w:styleId="ListContinue2">
    <w:name w:val="List Continue 2"/>
    <w:basedOn w:val="Normal"/>
    <w:semiHidden/>
    <w:rsid w:val="00F4790A"/>
    <w:pPr>
      <w:spacing w:after="120"/>
      <w:ind w:left="566"/>
    </w:pPr>
  </w:style>
  <w:style w:type="paragraph" w:styleId="ListContinue3">
    <w:name w:val="List Continue 3"/>
    <w:basedOn w:val="Normal"/>
    <w:semiHidden/>
    <w:rsid w:val="00F4790A"/>
    <w:pPr>
      <w:spacing w:after="120"/>
      <w:ind w:left="849"/>
    </w:pPr>
  </w:style>
  <w:style w:type="paragraph" w:styleId="ListContinue4">
    <w:name w:val="List Continue 4"/>
    <w:basedOn w:val="Normal"/>
    <w:semiHidden/>
    <w:rsid w:val="00F4790A"/>
    <w:pPr>
      <w:spacing w:after="120"/>
      <w:ind w:left="1132"/>
    </w:pPr>
  </w:style>
  <w:style w:type="paragraph" w:styleId="ListContinue5">
    <w:name w:val="List Continue 5"/>
    <w:basedOn w:val="Normal"/>
    <w:semiHidden/>
    <w:rsid w:val="00F4790A"/>
    <w:pPr>
      <w:spacing w:after="120"/>
      <w:ind w:left="1415"/>
    </w:pPr>
  </w:style>
  <w:style w:type="paragraph" w:styleId="ListNumber">
    <w:name w:val="List Number"/>
    <w:basedOn w:val="Normal"/>
    <w:semiHidden/>
    <w:rsid w:val="00F4790A"/>
    <w:pPr>
      <w:numPr>
        <w:numId w:val="7"/>
      </w:numPr>
    </w:pPr>
  </w:style>
  <w:style w:type="paragraph" w:styleId="ListNumber2">
    <w:name w:val="List Number 2"/>
    <w:basedOn w:val="Normal"/>
    <w:semiHidden/>
    <w:rsid w:val="00F4790A"/>
    <w:pPr>
      <w:numPr>
        <w:numId w:val="8"/>
      </w:numPr>
    </w:pPr>
  </w:style>
  <w:style w:type="paragraph" w:styleId="ListNumber3">
    <w:name w:val="List Number 3"/>
    <w:basedOn w:val="Normal"/>
    <w:semiHidden/>
    <w:rsid w:val="00F4790A"/>
    <w:pPr>
      <w:numPr>
        <w:numId w:val="9"/>
      </w:numPr>
    </w:pPr>
  </w:style>
  <w:style w:type="paragraph" w:styleId="ListNumber4">
    <w:name w:val="List Number 4"/>
    <w:basedOn w:val="Normal"/>
    <w:semiHidden/>
    <w:rsid w:val="00F4790A"/>
    <w:pPr>
      <w:numPr>
        <w:numId w:val="10"/>
      </w:numPr>
    </w:pPr>
  </w:style>
  <w:style w:type="paragraph" w:styleId="ListNumber5">
    <w:name w:val="List Number 5"/>
    <w:basedOn w:val="Normal"/>
    <w:semiHidden/>
    <w:rsid w:val="00F4790A"/>
    <w:pPr>
      <w:numPr>
        <w:numId w:val="11"/>
      </w:numPr>
    </w:pPr>
  </w:style>
  <w:style w:type="paragraph" w:styleId="MessageHeader">
    <w:name w:val="Message Header"/>
    <w:basedOn w:val="Normal"/>
    <w:semiHidden/>
    <w:rsid w:val="00F4790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F4790A"/>
    <w:rPr>
      <w:rFonts w:ascii="Times New Roman" w:hAnsi="Times New Roman"/>
      <w:sz w:val="24"/>
      <w:szCs w:val="24"/>
    </w:rPr>
  </w:style>
  <w:style w:type="paragraph" w:styleId="NormalIndent">
    <w:name w:val="Normal Indent"/>
    <w:basedOn w:val="Normal"/>
    <w:semiHidden/>
    <w:rsid w:val="00F4790A"/>
    <w:pPr>
      <w:ind w:left="709"/>
    </w:pPr>
  </w:style>
  <w:style w:type="paragraph" w:styleId="NoteHeading">
    <w:name w:val="Note Heading"/>
    <w:basedOn w:val="Normal"/>
    <w:next w:val="Normal"/>
    <w:semiHidden/>
    <w:rsid w:val="00F4790A"/>
  </w:style>
  <w:style w:type="character" w:styleId="PageNumber">
    <w:name w:val="page number"/>
    <w:basedOn w:val="DefaultParagraphFont"/>
    <w:semiHidden/>
    <w:rsid w:val="00F4790A"/>
  </w:style>
  <w:style w:type="paragraph" w:styleId="Salutation">
    <w:name w:val="Salutation"/>
    <w:basedOn w:val="Normal"/>
    <w:next w:val="Normal"/>
    <w:semiHidden/>
    <w:rsid w:val="00F4790A"/>
  </w:style>
  <w:style w:type="paragraph" w:styleId="Signature">
    <w:name w:val="Signature"/>
    <w:basedOn w:val="Normal"/>
    <w:semiHidden/>
    <w:rsid w:val="00F4790A"/>
    <w:pPr>
      <w:ind w:left="4252"/>
    </w:pPr>
  </w:style>
  <w:style w:type="character" w:styleId="Strong">
    <w:name w:val="Strong"/>
    <w:basedOn w:val="DefaultParagraphFont"/>
    <w:semiHidden/>
    <w:rsid w:val="00F4790A"/>
    <w:rPr>
      <w:b/>
      <w:bCs/>
    </w:rPr>
  </w:style>
  <w:style w:type="paragraph" w:styleId="Subtitle">
    <w:name w:val="Subtitle"/>
    <w:basedOn w:val="Normal"/>
    <w:semiHidden/>
    <w:rsid w:val="00F4790A"/>
    <w:pPr>
      <w:spacing w:after="60"/>
      <w:jc w:val="center"/>
      <w:outlineLvl w:val="1"/>
    </w:pPr>
    <w:rPr>
      <w:rFonts w:cs="Arial"/>
      <w:sz w:val="24"/>
      <w:szCs w:val="24"/>
    </w:rPr>
  </w:style>
  <w:style w:type="table" w:styleId="Table3Deffects1">
    <w:name w:val="Table 3D effects 1"/>
    <w:basedOn w:val="TableNormal"/>
    <w:semiHidden/>
    <w:rsid w:val="00F479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79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79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79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79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79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79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79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79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79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79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79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79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79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79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79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79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79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79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79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79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79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79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79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79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79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79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79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79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79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79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79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79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79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479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79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79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semiHidden/>
    <w:rsid w:val="0095098D"/>
    <w:pPr>
      <w:keepNext/>
      <w:spacing w:line="240" w:lineRule="auto"/>
    </w:pPr>
    <w:rPr>
      <w:rFonts w:cs="Arial"/>
      <w:b/>
      <w:bCs/>
      <w:kern w:val="28"/>
      <w:sz w:val="28"/>
      <w:szCs w:val="32"/>
    </w:rPr>
  </w:style>
  <w:style w:type="numbering" w:customStyle="1" w:styleId="ADXAlphaList">
    <w:name w:val="ADX Alpha List"/>
    <w:basedOn w:val="NoList"/>
    <w:rsid w:val="00777560"/>
    <w:pPr>
      <w:numPr>
        <w:numId w:val="17"/>
      </w:numPr>
    </w:pPr>
  </w:style>
  <w:style w:type="numbering" w:customStyle="1" w:styleId="ADXBulletList">
    <w:name w:val="ADX Bullet List"/>
    <w:basedOn w:val="NoList"/>
    <w:rsid w:val="000D7038"/>
    <w:pPr>
      <w:numPr>
        <w:numId w:val="18"/>
      </w:numPr>
    </w:pPr>
  </w:style>
  <w:style w:type="numbering" w:customStyle="1" w:styleId="ADXNumericList">
    <w:name w:val="ADX Numeric List"/>
    <w:basedOn w:val="NoList"/>
    <w:rsid w:val="000D7038"/>
    <w:pPr>
      <w:numPr>
        <w:numId w:val="19"/>
      </w:numPr>
    </w:pPr>
  </w:style>
  <w:style w:type="paragraph" w:customStyle="1" w:styleId="Appendix">
    <w:name w:val="Appendix"/>
    <w:basedOn w:val="BodyText"/>
    <w:next w:val="BodyText"/>
    <w:semiHidden/>
    <w:rsid w:val="00585BFE"/>
    <w:pPr>
      <w:keepNext/>
      <w:pageBreakBefore/>
      <w:numPr>
        <w:numId w:val="20"/>
      </w:numPr>
      <w:spacing w:before="300"/>
      <w:outlineLvl w:val="0"/>
    </w:pPr>
    <w:rPr>
      <w:b/>
      <w:sz w:val="24"/>
    </w:rPr>
  </w:style>
  <w:style w:type="paragraph" w:customStyle="1" w:styleId="SHeading1">
    <w:name w:val="S Heading 1"/>
    <w:basedOn w:val="BodyText"/>
    <w:next w:val="BodyText"/>
    <w:semiHidden/>
    <w:rsid w:val="00585BFE"/>
    <w:pPr>
      <w:keepNext/>
      <w:spacing w:before="300"/>
    </w:pPr>
    <w:rPr>
      <w:b/>
      <w:sz w:val="24"/>
    </w:rPr>
  </w:style>
  <w:style w:type="paragraph" w:customStyle="1" w:styleId="SHeading2">
    <w:name w:val="S Heading 2"/>
    <w:basedOn w:val="BodyText"/>
    <w:next w:val="BodyText"/>
    <w:semiHidden/>
    <w:rsid w:val="00585BFE"/>
    <w:pPr>
      <w:keepNext/>
      <w:spacing w:before="240"/>
    </w:pPr>
    <w:rPr>
      <w:b/>
    </w:rPr>
  </w:style>
  <w:style w:type="paragraph" w:customStyle="1" w:styleId="SOutline1">
    <w:name w:val="S Outline 1"/>
    <w:basedOn w:val="BodyText"/>
    <w:semiHidden/>
    <w:rsid w:val="00585BFE"/>
    <w:pPr>
      <w:numPr>
        <w:numId w:val="25"/>
      </w:numPr>
    </w:pPr>
  </w:style>
  <w:style w:type="paragraph" w:customStyle="1" w:styleId="SOutline2">
    <w:name w:val="S Outline 2"/>
    <w:basedOn w:val="BodyText"/>
    <w:semiHidden/>
    <w:rsid w:val="00585BFE"/>
    <w:pPr>
      <w:numPr>
        <w:ilvl w:val="1"/>
        <w:numId w:val="25"/>
      </w:numPr>
    </w:pPr>
  </w:style>
  <w:style w:type="paragraph" w:customStyle="1" w:styleId="SOutline3">
    <w:name w:val="S Outline 3"/>
    <w:basedOn w:val="BodyText"/>
    <w:semiHidden/>
    <w:rsid w:val="00585BFE"/>
    <w:pPr>
      <w:numPr>
        <w:ilvl w:val="2"/>
        <w:numId w:val="25"/>
      </w:numPr>
    </w:pPr>
  </w:style>
  <w:style w:type="paragraph" w:customStyle="1" w:styleId="SOutline4">
    <w:name w:val="S Outline 4"/>
    <w:basedOn w:val="BodyText"/>
    <w:semiHidden/>
    <w:rsid w:val="00585BFE"/>
    <w:pPr>
      <w:numPr>
        <w:ilvl w:val="3"/>
        <w:numId w:val="25"/>
      </w:numPr>
    </w:pPr>
  </w:style>
  <w:style w:type="paragraph" w:customStyle="1" w:styleId="SOutline5">
    <w:name w:val="S Outline 5"/>
    <w:basedOn w:val="BodyText"/>
    <w:semiHidden/>
    <w:rsid w:val="00585BFE"/>
    <w:pPr>
      <w:numPr>
        <w:ilvl w:val="4"/>
        <w:numId w:val="25"/>
      </w:numPr>
    </w:pPr>
  </w:style>
  <w:style w:type="paragraph" w:customStyle="1" w:styleId="Schedule">
    <w:name w:val="Schedule"/>
    <w:basedOn w:val="BodyText"/>
    <w:next w:val="BodyText"/>
    <w:semiHidden/>
    <w:rsid w:val="00585BFE"/>
    <w:pPr>
      <w:keepNext/>
      <w:pageBreakBefore/>
      <w:numPr>
        <w:numId w:val="26"/>
      </w:numPr>
      <w:spacing w:before="300"/>
      <w:outlineLvl w:val="0"/>
    </w:pPr>
    <w:rPr>
      <w:b/>
      <w:sz w:val="28"/>
      <w:szCs w:val="24"/>
    </w:rPr>
  </w:style>
  <w:style w:type="paragraph" w:styleId="Caption">
    <w:name w:val="caption"/>
    <w:basedOn w:val="Normal"/>
    <w:next w:val="Normal"/>
    <w:semiHidden/>
    <w:rsid w:val="00D318AF"/>
    <w:rPr>
      <w:b/>
      <w:bCs/>
    </w:rPr>
  </w:style>
  <w:style w:type="character" w:styleId="CommentReference">
    <w:name w:val="annotation reference"/>
    <w:basedOn w:val="DefaultParagraphFont"/>
    <w:semiHidden/>
    <w:rsid w:val="00D318AF"/>
    <w:rPr>
      <w:sz w:val="16"/>
      <w:szCs w:val="16"/>
    </w:rPr>
  </w:style>
  <w:style w:type="paragraph" w:styleId="CommentText">
    <w:name w:val="annotation text"/>
    <w:basedOn w:val="Normal"/>
    <w:semiHidden/>
    <w:rsid w:val="00D318AF"/>
  </w:style>
  <w:style w:type="paragraph" w:styleId="CommentSubject">
    <w:name w:val="annotation subject"/>
    <w:basedOn w:val="CommentText"/>
    <w:next w:val="CommentText"/>
    <w:semiHidden/>
    <w:rsid w:val="00D318AF"/>
    <w:rPr>
      <w:b/>
      <w:bCs/>
    </w:rPr>
  </w:style>
  <w:style w:type="paragraph" w:styleId="DocumentMap">
    <w:name w:val="Document Map"/>
    <w:basedOn w:val="Normal"/>
    <w:semiHidden/>
    <w:rsid w:val="00D318AF"/>
    <w:pPr>
      <w:shd w:val="clear" w:color="auto" w:fill="000080"/>
    </w:pPr>
    <w:rPr>
      <w:rFonts w:ascii="Tahoma" w:hAnsi="Tahoma" w:cs="Tahoma"/>
    </w:rPr>
  </w:style>
  <w:style w:type="paragraph" w:styleId="EndnoteText">
    <w:name w:val="endnote text"/>
    <w:basedOn w:val="Normal"/>
    <w:semiHidden/>
    <w:rsid w:val="00D318AF"/>
  </w:style>
  <w:style w:type="character" w:styleId="FootnoteReference">
    <w:name w:val="footnote reference"/>
    <w:basedOn w:val="DefaultParagraphFont"/>
    <w:semiHidden/>
    <w:rsid w:val="00D318AF"/>
    <w:rPr>
      <w:vertAlign w:val="superscript"/>
    </w:rPr>
  </w:style>
  <w:style w:type="paragraph" w:styleId="FootnoteText">
    <w:name w:val="footnote text"/>
    <w:basedOn w:val="Normal"/>
    <w:semiHidden/>
    <w:rsid w:val="00CC7B0C"/>
    <w:rPr>
      <w:rFonts w:ascii="Arial Narrow" w:hAnsi="Arial Narrow"/>
      <w:sz w:val="16"/>
    </w:rPr>
  </w:style>
  <w:style w:type="paragraph" w:styleId="Index1">
    <w:name w:val="index 1"/>
    <w:basedOn w:val="Normal"/>
    <w:next w:val="Normal"/>
    <w:autoRedefine/>
    <w:semiHidden/>
    <w:rsid w:val="00D318AF"/>
    <w:pPr>
      <w:ind w:left="200" w:hanging="200"/>
    </w:pPr>
  </w:style>
  <w:style w:type="paragraph" w:styleId="Index2">
    <w:name w:val="index 2"/>
    <w:basedOn w:val="Normal"/>
    <w:next w:val="Normal"/>
    <w:autoRedefine/>
    <w:semiHidden/>
    <w:rsid w:val="00D318AF"/>
    <w:pPr>
      <w:ind w:left="400" w:hanging="200"/>
    </w:pPr>
  </w:style>
  <w:style w:type="paragraph" w:styleId="Index3">
    <w:name w:val="index 3"/>
    <w:basedOn w:val="Normal"/>
    <w:next w:val="Normal"/>
    <w:autoRedefine/>
    <w:semiHidden/>
    <w:rsid w:val="00D318AF"/>
    <w:pPr>
      <w:ind w:left="600" w:hanging="200"/>
    </w:pPr>
  </w:style>
  <w:style w:type="paragraph" w:styleId="Index4">
    <w:name w:val="index 4"/>
    <w:basedOn w:val="Normal"/>
    <w:next w:val="Normal"/>
    <w:autoRedefine/>
    <w:semiHidden/>
    <w:rsid w:val="00D318AF"/>
    <w:pPr>
      <w:ind w:left="800" w:hanging="200"/>
    </w:pPr>
  </w:style>
  <w:style w:type="paragraph" w:styleId="Index5">
    <w:name w:val="index 5"/>
    <w:basedOn w:val="Normal"/>
    <w:next w:val="Normal"/>
    <w:autoRedefine/>
    <w:semiHidden/>
    <w:rsid w:val="00D318AF"/>
    <w:pPr>
      <w:ind w:left="1000" w:hanging="200"/>
    </w:pPr>
  </w:style>
  <w:style w:type="paragraph" w:styleId="Index6">
    <w:name w:val="index 6"/>
    <w:basedOn w:val="Normal"/>
    <w:next w:val="Normal"/>
    <w:autoRedefine/>
    <w:semiHidden/>
    <w:rsid w:val="00D318AF"/>
    <w:pPr>
      <w:ind w:left="1200" w:hanging="200"/>
    </w:pPr>
  </w:style>
  <w:style w:type="paragraph" w:styleId="Index7">
    <w:name w:val="index 7"/>
    <w:basedOn w:val="Normal"/>
    <w:next w:val="Normal"/>
    <w:autoRedefine/>
    <w:semiHidden/>
    <w:rsid w:val="00D318AF"/>
    <w:pPr>
      <w:ind w:left="1400" w:hanging="200"/>
    </w:pPr>
  </w:style>
  <w:style w:type="paragraph" w:styleId="Index8">
    <w:name w:val="index 8"/>
    <w:basedOn w:val="Normal"/>
    <w:next w:val="Normal"/>
    <w:autoRedefine/>
    <w:semiHidden/>
    <w:rsid w:val="00D318AF"/>
    <w:pPr>
      <w:ind w:left="1600" w:hanging="200"/>
    </w:pPr>
  </w:style>
  <w:style w:type="paragraph" w:customStyle="1" w:styleId="zDMSRef">
    <w:name w:val="z_DMS Ref"/>
    <w:basedOn w:val="Footer"/>
    <w:next w:val="Normal"/>
    <w:semiHidden/>
    <w:rsid w:val="000658C2"/>
    <w:rPr>
      <w:sz w:val="12"/>
    </w:rPr>
  </w:style>
  <w:style w:type="paragraph" w:customStyle="1" w:styleId="zFooter">
    <w:name w:val="z_Footer"/>
    <w:basedOn w:val="Normal"/>
    <w:semiHidden/>
    <w:rsid w:val="00626E03"/>
    <w:pPr>
      <w:tabs>
        <w:tab w:val="center" w:pos="4536"/>
        <w:tab w:val="right" w:pos="9072"/>
      </w:tabs>
    </w:pPr>
    <w:rPr>
      <w:sz w:val="18"/>
      <w:szCs w:val="16"/>
      <w:lang w:eastAsia="en-GB"/>
    </w:rPr>
  </w:style>
  <w:style w:type="paragraph" w:styleId="Index9">
    <w:name w:val="index 9"/>
    <w:basedOn w:val="Normal"/>
    <w:next w:val="Normal"/>
    <w:autoRedefine/>
    <w:semiHidden/>
    <w:rsid w:val="00D318AF"/>
    <w:pPr>
      <w:ind w:left="1800" w:hanging="200"/>
    </w:pPr>
  </w:style>
  <w:style w:type="paragraph" w:styleId="IndexHeading">
    <w:name w:val="index heading"/>
    <w:basedOn w:val="Normal"/>
    <w:next w:val="Index1"/>
    <w:semiHidden/>
    <w:rsid w:val="00D318AF"/>
    <w:rPr>
      <w:rFonts w:cs="Arial"/>
      <w:b/>
      <w:bCs/>
    </w:rPr>
  </w:style>
  <w:style w:type="paragraph" w:styleId="MacroText">
    <w:name w:val="macro"/>
    <w:semiHidden/>
    <w:rsid w:val="00D318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318AF"/>
    <w:pPr>
      <w:ind w:left="200" w:hanging="200"/>
    </w:pPr>
  </w:style>
  <w:style w:type="paragraph" w:styleId="TableofFigures">
    <w:name w:val="table of figures"/>
    <w:basedOn w:val="Normal"/>
    <w:next w:val="Normal"/>
    <w:semiHidden/>
    <w:rsid w:val="00D318AF"/>
  </w:style>
  <w:style w:type="paragraph" w:styleId="TOAHeading">
    <w:name w:val="toa heading"/>
    <w:basedOn w:val="Normal"/>
    <w:next w:val="Normal"/>
    <w:semiHidden/>
    <w:rsid w:val="00D318AF"/>
    <w:pPr>
      <w:spacing w:before="120"/>
    </w:pPr>
    <w:rPr>
      <w:rFonts w:cs="Arial"/>
      <w:b/>
      <w:bCs/>
      <w:sz w:val="24"/>
      <w:szCs w:val="24"/>
    </w:rPr>
  </w:style>
  <w:style w:type="paragraph" w:styleId="TOC1">
    <w:name w:val="toc 1"/>
    <w:basedOn w:val="Normal"/>
    <w:next w:val="Normal"/>
    <w:autoRedefine/>
    <w:semiHidden/>
    <w:rsid w:val="00320AD5"/>
    <w:pPr>
      <w:tabs>
        <w:tab w:val="right" w:pos="9072"/>
      </w:tabs>
      <w:spacing w:before="240"/>
      <w:ind w:left="425" w:right="567" w:hanging="425"/>
    </w:pPr>
  </w:style>
  <w:style w:type="paragraph" w:styleId="TOC2">
    <w:name w:val="toc 2"/>
    <w:basedOn w:val="TOC1"/>
    <w:next w:val="Normal"/>
    <w:autoRedefine/>
    <w:semiHidden/>
    <w:rsid w:val="00320AD5"/>
  </w:style>
  <w:style w:type="paragraph" w:styleId="TOC3">
    <w:name w:val="toc 3"/>
    <w:basedOn w:val="TOC2"/>
    <w:autoRedefine/>
    <w:semiHidden/>
    <w:rsid w:val="00C4514C"/>
    <w:pPr>
      <w:tabs>
        <w:tab w:val="right" w:leader="dot" w:pos="9072"/>
      </w:tabs>
    </w:pPr>
  </w:style>
  <w:style w:type="paragraph" w:styleId="TOC4">
    <w:name w:val="toc 4"/>
    <w:basedOn w:val="Normal"/>
    <w:next w:val="Normal"/>
    <w:autoRedefine/>
    <w:semiHidden/>
    <w:rsid w:val="00C4514C"/>
  </w:style>
  <w:style w:type="paragraph" w:styleId="TOC5">
    <w:name w:val="toc 5"/>
    <w:basedOn w:val="Normal"/>
    <w:autoRedefine/>
    <w:semiHidden/>
    <w:rsid w:val="00C4514C"/>
  </w:style>
  <w:style w:type="paragraph" w:styleId="TOC6">
    <w:name w:val="toc 6"/>
    <w:basedOn w:val="Normal"/>
    <w:autoRedefine/>
    <w:semiHidden/>
    <w:rsid w:val="00C4514C"/>
  </w:style>
  <w:style w:type="paragraph" w:styleId="TOC7">
    <w:name w:val="toc 7"/>
    <w:basedOn w:val="Normal"/>
    <w:next w:val="Normal"/>
    <w:autoRedefine/>
    <w:semiHidden/>
    <w:rsid w:val="00D318AF"/>
    <w:pPr>
      <w:ind w:left="1200"/>
    </w:pPr>
  </w:style>
  <w:style w:type="paragraph" w:styleId="TOC8">
    <w:name w:val="toc 8"/>
    <w:basedOn w:val="Normal"/>
    <w:next w:val="Normal"/>
    <w:autoRedefine/>
    <w:semiHidden/>
    <w:rsid w:val="00D318AF"/>
    <w:pPr>
      <w:ind w:left="1400"/>
    </w:pPr>
  </w:style>
  <w:style w:type="paragraph" w:styleId="TOC9">
    <w:name w:val="toc 9"/>
    <w:basedOn w:val="Normal"/>
    <w:next w:val="Normal"/>
    <w:autoRedefine/>
    <w:semiHidden/>
    <w:rsid w:val="00D318AF"/>
    <w:pPr>
      <w:ind w:left="1600"/>
    </w:pPr>
  </w:style>
  <w:style w:type="paragraph" w:styleId="BalloonText">
    <w:name w:val="Balloon Text"/>
    <w:basedOn w:val="Normal"/>
    <w:link w:val="BalloonTextChar"/>
    <w:semiHidden/>
    <w:rsid w:val="007465D7"/>
    <w:rPr>
      <w:rFonts w:ascii="Tahoma" w:hAnsi="Tahoma" w:cs="Tahoma"/>
      <w:sz w:val="16"/>
      <w:szCs w:val="16"/>
    </w:rPr>
  </w:style>
  <w:style w:type="character" w:customStyle="1" w:styleId="BalloonTextChar">
    <w:name w:val="Balloon Text Char"/>
    <w:basedOn w:val="DefaultParagraphFont"/>
    <w:link w:val="BalloonText"/>
    <w:semiHidden/>
    <w:rsid w:val="007465D7"/>
    <w:rPr>
      <w:rFonts w:ascii="Tahoma" w:hAnsi="Tahoma" w:cs="Tahoma"/>
      <w:sz w:val="16"/>
      <w:szCs w:val="16"/>
      <w:lang w:eastAsia="en-US"/>
    </w:rPr>
  </w:style>
  <w:style w:type="paragraph" w:styleId="Bibliography">
    <w:name w:val="Bibliography"/>
    <w:basedOn w:val="Normal"/>
    <w:next w:val="Normal"/>
    <w:uiPriority w:val="37"/>
    <w:semiHidden/>
    <w:rsid w:val="007465D7"/>
  </w:style>
  <w:style w:type="paragraph" w:styleId="BlockText">
    <w:name w:val="Block Text"/>
    <w:basedOn w:val="Normal"/>
    <w:semiHidden/>
    <w:rsid w:val="007465D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rsid w:val="007465D7"/>
    <w:pPr>
      <w:spacing w:after="120" w:line="480" w:lineRule="auto"/>
    </w:pPr>
  </w:style>
  <w:style w:type="character" w:customStyle="1" w:styleId="BodyText2Char">
    <w:name w:val="Body Text 2 Char"/>
    <w:basedOn w:val="DefaultParagraphFont"/>
    <w:link w:val="BodyText2"/>
    <w:semiHidden/>
    <w:rsid w:val="007465D7"/>
    <w:rPr>
      <w:rFonts w:ascii="Arial" w:hAnsi="Arial"/>
      <w:lang w:eastAsia="en-US"/>
    </w:rPr>
  </w:style>
  <w:style w:type="paragraph" w:styleId="BodyText3">
    <w:name w:val="Body Text 3"/>
    <w:basedOn w:val="Normal"/>
    <w:link w:val="BodyText3Char"/>
    <w:semiHidden/>
    <w:rsid w:val="007465D7"/>
    <w:pPr>
      <w:spacing w:after="120"/>
    </w:pPr>
    <w:rPr>
      <w:sz w:val="16"/>
      <w:szCs w:val="16"/>
    </w:rPr>
  </w:style>
  <w:style w:type="character" w:customStyle="1" w:styleId="BodyText3Char">
    <w:name w:val="Body Text 3 Char"/>
    <w:basedOn w:val="DefaultParagraphFont"/>
    <w:link w:val="BodyText3"/>
    <w:semiHidden/>
    <w:rsid w:val="007465D7"/>
    <w:rPr>
      <w:rFonts w:ascii="Arial" w:hAnsi="Arial"/>
      <w:sz w:val="16"/>
      <w:szCs w:val="16"/>
      <w:lang w:eastAsia="en-US"/>
    </w:rPr>
  </w:style>
  <w:style w:type="paragraph" w:styleId="BodyTextFirstIndent">
    <w:name w:val="Body Text First Indent"/>
    <w:basedOn w:val="BodyText"/>
    <w:link w:val="BodyTextFirstIndentChar"/>
    <w:semiHidden/>
    <w:rsid w:val="007465D7"/>
    <w:pPr>
      <w:spacing w:after="0" w:line="240" w:lineRule="auto"/>
      <w:ind w:firstLine="360"/>
    </w:pPr>
  </w:style>
  <w:style w:type="character" w:customStyle="1" w:styleId="BodyTextChar">
    <w:name w:val="Body Text Char"/>
    <w:basedOn w:val="DefaultParagraphFont"/>
    <w:link w:val="BodyText"/>
    <w:rsid w:val="007465D7"/>
    <w:rPr>
      <w:rFonts w:ascii="Arial" w:hAnsi="Arial"/>
      <w:lang w:eastAsia="en-US"/>
    </w:rPr>
  </w:style>
  <w:style w:type="character" w:customStyle="1" w:styleId="BodyTextFirstIndentChar">
    <w:name w:val="Body Text First Indent Char"/>
    <w:basedOn w:val="BodyTextChar"/>
    <w:link w:val="BodyTextFirstIndent"/>
    <w:semiHidden/>
    <w:rsid w:val="007465D7"/>
    <w:rPr>
      <w:rFonts w:ascii="Arial" w:hAnsi="Arial"/>
      <w:lang w:eastAsia="en-US"/>
    </w:rPr>
  </w:style>
  <w:style w:type="paragraph" w:styleId="BodyTextFirstIndent2">
    <w:name w:val="Body Text First Indent 2"/>
    <w:basedOn w:val="BodyTextIndent"/>
    <w:link w:val="BodyTextFirstIndent2Char"/>
    <w:semiHidden/>
    <w:rsid w:val="007465D7"/>
    <w:pPr>
      <w:spacing w:after="0" w:line="240" w:lineRule="auto"/>
      <w:ind w:left="360" w:firstLine="360"/>
    </w:pPr>
  </w:style>
  <w:style w:type="character" w:customStyle="1" w:styleId="BodyTextIndentChar">
    <w:name w:val="Body Text Indent Char"/>
    <w:basedOn w:val="BodyTextChar"/>
    <w:link w:val="BodyTextIndent"/>
    <w:uiPriority w:val="6"/>
    <w:rsid w:val="007465D7"/>
    <w:rPr>
      <w:rFonts w:ascii="Arial" w:hAnsi="Arial"/>
      <w:lang w:eastAsia="en-US"/>
    </w:rPr>
  </w:style>
  <w:style w:type="character" w:customStyle="1" w:styleId="BodyTextFirstIndent2Char">
    <w:name w:val="Body Text First Indent 2 Char"/>
    <w:basedOn w:val="BodyTextIndentChar"/>
    <w:link w:val="BodyTextFirstIndent2"/>
    <w:semiHidden/>
    <w:rsid w:val="007465D7"/>
    <w:rPr>
      <w:rFonts w:ascii="Arial" w:hAnsi="Arial"/>
      <w:lang w:eastAsia="en-US"/>
    </w:rPr>
  </w:style>
  <w:style w:type="paragraph" w:styleId="BodyTextIndent2">
    <w:name w:val="Body Text Indent 2"/>
    <w:basedOn w:val="Normal"/>
    <w:link w:val="BodyTextIndent2Char"/>
    <w:semiHidden/>
    <w:rsid w:val="007465D7"/>
    <w:pPr>
      <w:spacing w:after="120" w:line="480" w:lineRule="auto"/>
      <w:ind w:left="283"/>
    </w:pPr>
  </w:style>
  <w:style w:type="character" w:customStyle="1" w:styleId="BodyTextIndent2Char">
    <w:name w:val="Body Text Indent 2 Char"/>
    <w:basedOn w:val="DefaultParagraphFont"/>
    <w:link w:val="BodyTextIndent2"/>
    <w:semiHidden/>
    <w:rsid w:val="007465D7"/>
    <w:rPr>
      <w:rFonts w:ascii="Arial" w:hAnsi="Arial"/>
      <w:lang w:eastAsia="en-US"/>
    </w:rPr>
  </w:style>
  <w:style w:type="paragraph" w:styleId="BodyTextIndent3">
    <w:name w:val="Body Text Indent 3"/>
    <w:basedOn w:val="Normal"/>
    <w:link w:val="BodyTextIndent3Char"/>
    <w:semiHidden/>
    <w:rsid w:val="007465D7"/>
    <w:pPr>
      <w:spacing w:after="120"/>
      <w:ind w:left="283"/>
    </w:pPr>
    <w:rPr>
      <w:sz w:val="16"/>
      <w:szCs w:val="16"/>
    </w:rPr>
  </w:style>
  <w:style w:type="character" w:customStyle="1" w:styleId="BodyTextIndent3Char">
    <w:name w:val="Body Text Indent 3 Char"/>
    <w:basedOn w:val="DefaultParagraphFont"/>
    <w:link w:val="BodyTextIndent3"/>
    <w:semiHidden/>
    <w:rsid w:val="007465D7"/>
    <w:rPr>
      <w:rFonts w:ascii="Arial" w:hAnsi="Arial"/>
      <w:sz w:val="16"/>
      <w:szCs w:val="16"/>
      <w:lang w:eastAsia="en-US"/>
    </w:rPr>
  </w:style>
  <w:style w:type="character" w:styleId="BookTitle">
    <w:name w:val="Book Title"/>
    <w:basedOn w:val="DefaultParagraphFont"/>
    <w:uiPriority w:val="33"/>
    <w:semiHidden/>
    <w:rsid w:val="007465D7"/>
    <w:rPr>
      <w:b/>
      <w:bCs/>
      <w:smallCaps/>
      <w:spacing w:val="5"/>
    </w:rPr>
  </w:style>
  <w:style w:type="character" w:styleId="Emphasis">
    <w:name w:val="Emphasis"/>
    <w:basedOn w:val="DefaultParagraphFont"/>
    <w:semiHidden/>
    <w:rsid w:val="007465D7"/>
    <w:rPr>
      <w:i/>
      <w:iCs/>
    </w:rPr>
  </w:style>
  <w:style w:type="character" w:styleId="EndnoteReference">
    <w:name w:val="endnote reference"/>
    <w:basedOn w:val="DefaultParagraphFont"/>
    <w:semiHidden/>
    <w:rsid w:val="007465D7"/>
    <w:rPr>
      <w:vertAlign w:val="superscript"/>
    </w:rPr>
  </w:style>
  <w:style w:type="character" w:styleId="IntenseEmphasis">
    <w:name w:val="Intense Emphasis"/>
    <w:basedOn w:val="DefaultParagraphFont"/>
    <w:uiPriority w:val="21"/>
    <w:semiHidden/>
    <w:rsid w:val="007465D7"/>
    <w:rPr>
      <w:b/>
      <w:bCs/>
      <w:i/>
      <w:iCs/>
      <w:color w:val="4F81BD" w:themeColor="accent1"/>
    </w:rPr>
  </w:style>
  <w:style w:type="paragraph" w:styleId="IntenseQuote">
    <w:name w:val="Intense Quote"/>
    <w:basedOn w:val="Normal"/>
    <w:next w:val="Normal"/>
    <w:link w:val="IntenseQuoteChar"/>
    <w:uiPriority w:val="30"/>
    <w:semiHidden/>
    <w:rsid w:val="007465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65D7"/>
    <w:rPr>
      <w:rFonts w:ascii="Arial" w:hAnsi="Arial"/>
      <w:b/>
      <w:bCs/>
      <w:i/>
      <w:iCs/>
      <w:color w:val="4F81BD" w:themeColor="accent1"/>
      <w:lang w:eastAsia="en-US"/>
    </w:rPr>
  </w:style>
  <w:style w:type="character" w:styleId="IntenseReference">
    <w:name w:val="Intense Reference"/>
    <w:basedOn w:val="DefaultParagraphFont"/>
    <w:uiPriority w:val="32"/>
    <w:semiHidden/>
    <w:rsid w:val="007465D7"/>
    <w:rPr>
      <w:b/>
      <w:bCs/>
      <w:smallCaps/>
      <w:color w:val="C0504D" w:themeColor="accent2"/>
      <w:spacing w:val="5"/>
      <w:u w:val="single"/>
    </w:rPr>
  </w:style>
  <w:style w:type="paragraph" w:styleId="ListParagraph">
    <w:name w:val="List Paragraph"/>
    <w:basedOn w:val="Normal"/>
    <w:uiPriority w:val="34"/>
    <w:semiHidden/>
    <w:rsid w:val="007465D7"/>
    <w:pPr>
      <w:ind w:left="720"/>
      <w:contextualSpacing/>
    </w:pPr>
  </w:style>
  <w:style w:type="paragraph" w:styleId="NoSpacing">
    <w:name w:val="No Spacing"/>
    <w:uiPriority w:val="1"/>
    <w:semiHidden/>
    <w:rsid w:val="007465D7"/>
    <w:rPr>
      <w:rFonts w:ascii="Arial" w:hAnsi="Arial"/>
      <w:lang w:eastAsia="en-US"/>
    </w:rPr>
  </w:style>
  <w:style w:type="character" w:styleId="PlaceholderText">
    <w:name w:val="Placeholder Text"/>
    <w:basedOn w:val="DefaultParagraphFont"/>
    <w:uiPriority w:val="99"/>
    <w:semiHidden/>
    <w:rsid w:val="007465D7"/>
    <w:rPr>
      <w:color w:val="808080"/>
    </w:rPr>
  </w:style>
  <w:style w:type="paragraph" w:styleId="PlainText">
    <w:name w:val="Plain Text"/>
    <w:basedOn w:val="Normal"/>
    <w:link w:val="PlainTextChar"/>
    <w:semiHidden/>
    <w:rsid w:val="007465D7"/>
    <w:rPr>
      <w:rFonts w:ascii="Consolas" w:hAnsi="Consolas"/>
      <w:sz w:val="21"/>
      <w:szCs w:val="21"/>
    </w:rPr>
  </w:style>
  <w:style w:type="character" w:customStyle="1" w:styleId="PlainTextChar">
    <w:name w:val="Plain Text Char"/>
    <w:basedOn w:val="DefaultParagraphFont"/>
    <w:link w:val="PlainText"/>
    <w:semiHidden/>
    <w:rsid w:val="007465D7"/>
    <w:rPr>
      <w:rFonts w:ascii="Consolas" w:hAnsi="Consolas"/>
      <w:sz w:val="21"/>
      <w:szCs w:val="21"/>
      <w:lang w:eastAsia="en-US"/>
    </w:rPr>
  </w:style>
  <w:style w:type="paragraph" w:styleId="Quote">
    <w:name w:val="Quote"/>
    <w:basedOn w:val="Normal"/>
    <w:next w:val="Normal"/>
    <w:link w:val="QuoteChar"/>
    <w:uiPriority w:val="29"/>
    <w:semiHidden/>
    <w:rsid w:val="007465D7"/>
    <w:rPr>
      <w:i/>
      <w:iCs/>
      <w:color w:val="000000" w:themeColor="text1"/>
    </w:rPr>
  </w:style>
  <w:style w:type="character" w:customStyle="1" w:styleId="QuoteChar">
    <w:name w:val="Quote Char"/>
    <w:basedOn w:val="DefaultParagraphFont"/>
    <w:link w:val="Quote"/>
    <w:uiPriority w:val="29"/>
    <w:semiHidden/>
    <w:rsid w:val="007465D7"/>
    <w:rPr>
      <w:rFonts w:ascii="Arial" w:hAnsi="Arial"/>
      <w:i/>
      <w:iCs/>
      <w:color w:val="000000" w:themeColor="text1"/>
      <w:lang w:eastAsia="en-US"/>
    </w:rPr>
  </w:style>
  <w:style w:type="character" w:styleId="SubtleEmphasis">
    <w:name w:val="Subtle Emphasis"/>
    <w:basedOn w:val="DefaultParagraphFont"/>
    <w:uiPriority w:val="19"/>
    <w:semiHidden/>
    <w:rsid w:val="007465D7"/>
    <w:rPr>
      <w:i/>
      <w:iCs/>
      <w:color w:val="808080" w:themeColor="text1" w:themeTint="7F"/>
    </w:rPr>
  </w:style>
  <w:style w:type="character" w:styleId="SubtleReference">
    <w:name w:val="Subtle Reference"/>
    <w:basedOn w:val="DefaultParagraphFont"/>
    <w:uiPriority w:val="31"/>
    <w:semiHidden/>
    <w:rsid w:val="007465D7"/>
    <w:rPr>
      <w:smallCaps/>
      <w:color w:val="C0504D" w:themeColor="accent2"/>
      <w:u w:val="single"/>
    </w:rPr>
  </w:style>
  <w:style w:type="paragraph" w:styleId="TOCHeading">
    <w:name w:val="TOC Heading"/>
    <w:basedOn w:val="Heading1"/>
    <w:next w:val="Normal"/>
    <w:uiPriority w:val="39"/>
    <w:semiHidden/>
    <w:rsid w:val="007465D7"/>
    <w:pPr>
      <w:keepLines/>
      <w:spacing w:before="480" w:after="0" w:line="240"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KSTableBodyText">
    <w:name w:val="KSTableBodyText"/>
    <w:basedOn w:val="BodyText"/>
    <w:uiPriority w:val="6"/>
    <w:qFormat/>
    <w:rsid w:val="001D777C"/>
    <w:pPr>
      <w:spacing w:before="120" w:after="120"/>
    </w:pPr>
    <w:rPr>
      <w:sz w:val="18"/>
      <w:szCs w:val="19"/>
      <w:lang w:eastAsia="en-GB"/>
    </w:rPr>
  </w:style>
  <w:style w:type="paragraph" w:customStyle="1" w:styleId="KSTableHeading">
    <w:name w:val="KSTableHeading"/>
    <w:basedOn w:val="BodyText"/>
    <w:uiPriority w:val="6"/>
    <w:qFormat/>
    <w:rsid w:val="004314B8"/>
    <w:pPr>
      <w:spacing w:before="120" w:after="120"/>
    </w:pPr>
    <w:rPr>
      <w:color w:val="FFFFFF"/>
      <w:sz w:val="18"/>
      <w:szCs w:val="19"/>
      <w:lang w:eastAsia="en-GB"/>
    </w:rPr>
  </w:style>
  <w:style w:type="character" w:styleId="Mention">
    <w:name w:val="Mention"/>
    <w:basedOn w:val="DefaultParagraphFont"/>
    <w:uiPriority w:val="99"/>
    <w:semiHidden/>
    <w:unhideWhenUsed/>
    <w:rsid w:val="00D60210"/>
    <w:rPr>
      <w:color w:val="2B579A"/>
      <w:shd w:val="clear" w:color="auto" w:fill="E6E6E6"/>
    </w:rPr>
  </w:style>
  <w:style w:type="character" w:styleId="UnresolvedMention">
    <w:name w:val="Unresolved Mention"/>
    <w:basedOn w:val="DefaultParagraphFont"/>
    <w:uiPriority w:val="99"/>
    <w:semiHidden/>
    <w:unhideWhenUsed/>
    <w:rsid w:val="00324AB0"/>
    <w:rPr>
      <w:color w:val="808080"/>
      <w:shd w:val="clear" w:color="auto" w:fill="E6E6E6"/>
    </w:rPr>
  </w:style>
  <w:style w:type="paragraph" w:customStyle="1" w:styleId="xmsonormal">
    <w:name w:val="x_msonormal"/>
    <w:basedOn w:val="Normal"/>
    <w:rsid w:val="00656342"/>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a.govt.nz/AML-CFT-GuidelineLawyers-and-Conveyance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ia.govt.nz/AML-CFT-GuidelineLawyers-and-Conveyanc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tf-gafi.org/countr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awsociety.org.nz/practice-resources/practice-areas/aml-cft" TargetMode="External"/><Relationship Id="rId4" Type="http://schemas.openxmlformats.org/officeDocument/2006/relationships/styles" Target="styles.xml"/><Relationship Id="rId9" Type="http://schemas.openxmlformats.org/officeDocument/2006/relationships/hyperlink" Target="https://www.dia.govt.n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General12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A3BA-1450-43D9-A0A1-69B54BEF0448}">
  <ds:schemaRefs>
    <ds:schemaRef ds:uri="http://schemas.microsoft.com/office/2006/customDocumentInformationPanel"/>
  </ds:schemaRefs>
</ds:datastoreItem>
</file>

<file path=customXml/itemProps2.xml><?xml version="1.0" encoding="utf-8"?>
<ds:datastoreItem xmlns:ds="http://schemas.openxmlformats.org/officeDocument/2006/customXml" ds:itemID="{17BA6173-1733-4350-B6A0-9CF38C23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ADXGeneral128.dotm</Template>
  <TotalTime>0</TotalTime>
  <Pages>13</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Kensington Swan</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Kensington Swan</dc:creator>
  <dc:description>Nov 2012: I/E 72</dc:description>
  <cp:lastModifiedBy>Miranda Kaye</cp:lastModifiedBy>
  <cp:revision>5</cp:revision>
  <cp:lastPrinted>2017-11-08T00:16:00Z</cp:lastPrinted>
  <dcterms:created xsi:type="dcterms:W3CDTF">2018-02-01T00:07:00Z</dcterms:created>
  <dcterms:modified xsi:type="dcterms:W3CDTF">2018-02-07T19:08:00Z</dcterms:modified>
</cp:coreProperties>
</file>